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简体"/>
          <w:spacing w:val="-20"/>
          <w:sz w:val="52"/>
          <w:szCs w:val="52"/>
        </w:rPr>
      </w:pPr>
      <w:bookmarkStart w:id="49" w:name="_GoBack"/>
      <w:bookmarkEnd w:id="49"/>
      <w:r>
        <w:rPr>
          <w:rFonts w:eastAsia="方正小标宋简体"/>
          <w:spacing w:val="-20"/>
          <w:sz w:val="52"/>
          <w:szCs w:val="52"/>
        </w:rPr>
        <w:t>阳城县“十四五”中原城市群区域融合发展</w:t>
      </w:r>
    </w:p>
    <w:p>
      <w:pPr>
        <w:jc w:val="center"/>
        <w:rPr>
          <w:rFonts w:eastAsia="方正小标宋简体"/>
          <w:sz w:val="52"/>
          <w:szCs w:val="52"/>
        </w:rPr>
      </w:pPr>
      <w:r>
        <w:rPr>
          <w:rFonts w:eastAsia="方正小标宋简体"/>
          <w:sz w:val="52"/>
          <w:szCs w:val="52"/>
        </w:rPr>
        <w:t>实现高水平崛起规划</w:t>
      </w: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rPr>
          <w:rFonts w:eastAsia="仿宋_GB2312"/>
          <w:sz w:val="32"/>
          <w:szCs w:val="32"/>
        </w:rPr>
      </w:pPr>
    </w:p>
    <w:p>
      <w:pPr>
        <w:spacing w:line="600" w:lineRule="exact"/>
        <w:ind w:firstLine="640"/>
        <w:jc w:val="center"/>
        <w:rPr>
          <w:rFonts w:eastAsia="黑体"/>
          <w:sz w:val="32"/>
          <w:szCs w:val="32"/>
        </w:rPr>
      </w:pPr>
    </w:p>
    <w:p>
      <w:pPr>
        <w:spacing w:line="600" w:lineRule="exact"/>
        <w:ind w:firstLine="640"/>
        <w:jc w:val="center"/>
        <w:rPr>
          <w:rFonts w:eastAsia="黑体"/>
          <w:sz w:val="32"/>
          <w:szCs w:val="32"/>
        </w:rPr>
      </w:pPr>
    </w:p>
    <w:p>
      <w:pPr>
        <w:widowControl/>
        <w:spacing w:line="600" w:lineRule="exact"/>
        <w:jc w:val="center"/>
        <w:rPr>
          <w:rFonts w:eastAsia="楷体_GB2312"/>
          <w:b/>
          <w:spacing w:val="-10"/>
          <w:sz w:val="32"/>
          <w:szCs w:val="32"/>
        </w:rPr>
        <w:sectPr>
          <w:headerReference r:id="rId4" w:type="first"/>
          <w:footerReference r:id="rId7" w:type="first"/>
          <w:footerReference r:id="rId5" w:type="default"/>
          <w:headerReference r:id="rId3" w:type="even"/>
          <w:footerReference r:id="rId6" w:type="even"/>
          <w:pgSz w:w="11906" w:h="16838"/>
          <w:pgMar w:top="2268" w:right="1418" w:bottom="1701" w:left="1701" w:header="851" w:footer="992" w:gutter="0"/>
          <w:pgNumType w:start="1"/>
          <w:cols w:space="425" w:num="1"/>
          <w:docGrid w:type="lines" w:linePitch="435" w:charSpace="0"/>
        </w:sectPr>
      </w:pPr>
      <w:r>
        <w:rPr>
          <w:rFonts w:eastAsia="楷体_GB2312"/>
          <w:b/>
          <w:spacing w:val="-10"/>
          <w:sz w:val="32"/>
          <w:szCs w:val="32"/>
        </w:rPr>
        <w:t>二</w:t>
      </w:r>
      <w:r>
        <w:rPr>
          <w:b/>
          <w:spacing w:val="-10"/>
          <w:sz w:val="32"/>
          <w:szCs w:val="32"/>
        </w:rPr>
        <w:t>〇</w:t>
      </w:r>
      <w:r>
        <w:rPr>
          <w:rFonts w:eastAsia="楷体_GB2312"/>
          <w:b/>
          <w:spacing w:val="-10"/>
          <w:sz w:val="32"/>
          <w:szCs w:val="32"/>
        </w:rPr>
        <w:t>二</w:t>
      </w:r>
      <w:r>
        <w:rPr>
          <w:rFonts w:hint="eastAsia" w:eastAsia="楷体_GB2312"/>
          <w:b/>
          <w:spacing w:val="-10"/>
          <w:sz w:val="32"/>
          <w:szCs w:val="32"/>
        </w:rPr>
        <w:t>二</w:t>
      </w:r>
      <w:r>
        <w:rPr>
          <w:rFonts w:eastAsia="楷体_GB2312"/>
          <w:b/>
          <w:spacing w:val="-10"/>
          <w:sz w:val="32"/>
          <w:szCs w:val="32"/>
        </w:rPr>
        <w:t>年</w:t>
      </w:r>
      <w:r>
        <w:rPr>
          <w:rFonts w:hint="eastAsia" w:eastAsia="楷体_GB2312"/>
          <w:b/>
          <w:spacing w:val="-10"/>
          <w:sz w:val="32"/>
          <w:szCs w:val="32"/>
        </w:rPr>
        <w:t>七</w:t>
      </w:r>
      <w:r>
        <w:rPr>
          <w:rFonts w:eastAsia="楷体_GB2312"/>
          <w:b/>
          <w:spacing w:val="-10"/>
          <w:sz w:val="32"/>
          <w:szCs w:val="32"/>
        </w:rPr>
        <w:t>月</w:t>
      </w:r>
    </w:p>
    <w:p>
      <w:pPr>
        <w:jc w:val="center"/>
        <w:outlineLvl w:val="0"/>
        <w:rPr>
          <w:rFonts w:eastAsia="黑体"/>
          <w:bCs/>
          <w:sz w:val="36"/>
          <w:szCs w:val="36"/>
        </w:rPr>
      </w:pPr>
      <w:bookmarkStart w:id="0" w:name="_Toc90809049"/>
      <w:bookmarkStart w:id="1" w:name="_Toc90809319"/>
      <w:bookmarkStart w:id="2" w:name="_Toc15236"/>
      <w:r>
        <w:rPr>
          <w:rFonts w:eastAsia="黑体"/>
          <w:bCs/>
          <w:sz w:val="36"/>
          <w:szCs w:val="36"/>
        </w:rPr>
        <w:t>目   录</w:t>
      </w:r>
      <w:bookmarkEnd w:id="0"/>
      <w:bookmarkEnd w:id="1"/>
    </w:p>
    <w:p>
      <w:pPr>
        <w:pStyle w:val="7"/>
        <w:rPr>
          <w:rStyle w:val="12"/>
          <w:b w:val="0"/>
          <w:color w:val="auto"/>
        </w:rPr>
      </w:pPr>
      <w:r>
        <w:fldChar w:fldCharType="begin"/>
      </w:r>
      <w:r>
        <w:instrText xml:space="preserve"> TOC \o "1-2" \h \z \u </w:instrText>
      </w:r>
      <w:r>
        <w:fldChar w:fldCharType="separate"/>
      </w:r>
    </w:p>
    <w:p>
      <w:pPr>
        <w:pStyle w:val="7"/>
        <w:rPr>
          <w:rStyle w:val="12"/>
          <w:color w:val="auto"/>
        </w:rPr>
      </w:pPr>
      <w:r>
        <w:fldChar w:fldCharType="begin"/>
      </w:r>
      <w:r>
        <w:instrText xml:space="preserve"> HYPERLINK \l "_Toc90809320" </w:instrText>
      </w:r>
      <w:r>
        <w:fldChar w:fldCharType="separate"/>
      </w:r>
      <w:r>
        <w:rPr>
          <w:rStyle w:val="12"/>
          <w:color w:val="auto"/>
        </w:rPr>
        <w:t>导   言</w:t>
      </w:r>
      <w:r>
        <w:rPr>
          <w:rStyle w:val="12"/>
          <w:color w:val="auto"/>
        </w:rPr>
        <w:tab/>
      </w:r>
      <w:r>
        <w:rPr>
          <w:rStyle w:val="12"/>
          <w:color w:val="auto"/>
        </w:rPr>
        <w:fldChar w:fldCharType="begin"/>
      </w:r>
      <w:r>
        <w:rPr>
          <w:rStyle w:val="12"/>
          <w:color w:val="auto"/>
        </w:rPr>
        <w:instrText xml:space="preserve"> PAGEREF _Toc90809320 \h </w:instrText>
      </w:r>
      <w:r>
        <w:rPr>
          <w:rStyle w:val="12"/>
          <w:color w:val="auto"/>
        </w:rPr>
        <w:fldChar w:fldCharType="separate"/>
      </w:r>
      <w:r>
        <w:rPr>
          <w:rStyle w:val="12"/>
          <w:color w:val="auto"/>
        </w:rPr>
        <w:t>1</w:t>
      </w:r>
      <w:r>
        <w:rPr>
          <w:rStyle w:val="12"/>
          <w:color w:val="auto"/>
        </w:rPr>
        <w:fldChar w:fldCharType="end"/>
      </w:r>
      <w:r>
        <w:rPr>
          <w:rStyle w:val="12"/>
          <w:color w:val="auto"/>
        </w:rPr>
        <w:fldChar w:fldCharType="end"/>
      </w:r>
    </w:p>
    <w:p>
      <w:pPr>
        <w:pStyle w:val="7"/>
      </w:pPr>
      <w:r>
        <w:fldChar w:fldCharType="begin"/>
      </w:r>
      <w:r>
        <w:instrText xml:space="preserve"> HYPERLINK \l "_Toc90809321" </w:instrText>
      </w:r>
      <w:r>
        <w:fldChar w:fldCharType="separate"/>
      </w:r>
      <w:r>
        <w:rPr>
          <w:rStyle w:val="12"/>
          <w:color w:val="auto"/>
        </w:rPr>
        <w:t>第一章 发展环境和发展基础</w:t>
      </w:r>
      <w:r>
        <w:tab/>
      </w:r>
      <w:r>
        <w:fldChar w:fldCharType="begin"/>
      </w:r>
      <w:r>
        <w:instrText xml:space="preserve"> PAGEREF _Toc90809321 \h </w:instrText>
      </w:r>
      <w:r>
        <w:fldChar w:fldCharType="separate"/>
      </w:r>
      <w:r>
        <w:t>3</w:t>
      </w:r>
      <w:r>
        <w:fldChar w:fldCharType="end"/>
      </w:r>
      <w:r>
        <w:fldChar w:fldCharType="end"/>
      </w:r>
    </w:p>
    <w:p>
      <w:pPr>
        <w:pStyle w:val="8"/>
        <w:tabs>
          <w:tab w:val="right" w:leader="dot" w:pos="8777"/>
        </w:tabs>
        <w:spacing w:line="500" w:lineRule="exact"/>
        <w:ind w:left="0" w:leftChars="0" w:firstLine="210" w:firstLineChars="100"/>
        <w:rPr>
          <w:rFonts w:eastAsia="仿宋_GB2312"/>
          <w:sz w:val="30"/>
          <w:szCs w:val="30"/>
        </w:rPr>
      </w:pPr>
      <w:r>
        <w:fldChar w:fldCharType="begin"/>
      </w:r>
      <w:r>
        <w:instrText xml:space="preserve"> HYPERLINK \l "_Toc90809322" </w:instrText>
      </w:r>
      <w:r>
        <w:fldChar w:fldCharType="separate"/>
      </w:r>
      <w:r>
        <w:rPr>
          <w:rStyle w:val="12"/>
          <w:rFonts w:eastAsia="仿宋_GB2312"/>
          <w:color w:val="auto"/>
          <w:sz w:val="30"/>
          <w:szCs w:val="30"/>
        </w:rPr>
        <w:t>第一节 宏观环境</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_Toc90809322 \h </w:instrText>
      </w:r>
      <w:r>
        <w:rPr>
          <w:rFonts w:eastAsia="仿宋_GB2312"/>
          <w:sz w:val="30"/>
          <w:szCs w:val="30"/>
        </w:rPr>
        <w:fldChar w:fldCharType="separate"/>
      </w:r>
      <w:r>
        <w:rPr>
          <w:rFonts w:eastAsia="仿宋_GB2312"/>
          <w:sz w:val="30"/>
          <w:szCs w:val="30"/>
        </w:rPr>
        <w:t>3</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ind w:left="0" w:leftChars="0" w:firstLine="210" w:firstLineChars="100"/>
        <w:rPr>
          <w:rFonts w:eastAsia="仿宋_GB2312"/>
          <w:sz w:val="30"/>
          <w:szCs w:val="30"/>
        </w:rPr>
      </w:pPr>
      <w:r>
        <w:fldChar w:fldCharType="begin"/>
      </w:r>
      <w:r>
        <w:instrText xml:space="preserve"> HYPERLINK \l "_Toc90809323" </w:instrText>
      </w:r>
      <w:r>
        <w:fldChar w:fldCharType="separate"/>
      </w:r>
      <w:r>
        <w:rPr>
          <w:rStyle w:val="12"/>
          <w:rFonts w:eastAsia="仿宋_GB2312"/>
          <w:color w:val="auto"/>
          <w:sz w:val="30"/>
          <w:szCs w:val="30"/>
        </w:rPr>
        <w:t>第二节 中原城市群发展态势</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_Toc90809323 \h </w:instrText>
      </w:r>
      <w:r>
        <w:rPr>
          <w:rFonts w:eastAsia="仿宋_GB2312"/>
          <w:sz w:val="30"/>
          <w:szCs w:val="30"/>
        </w:rPr>
        <w:fldChar w:fldCharType="separate"/>
      </w:r>
      <w:r>
        <w:rPr>
          <w:rFonts w:eastAsia="仿宋_GB2312"/>
          <w:sz w:val="30"/>
          <w:szCs w:val="30"/>
        </w:rPr>
        <w:t>6</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ind w:left="0" w:leftChars="0" w:firstLine="210" w:firstLineChars="100"/>
        <w:rPr>
          <w:rFonts w:eastAsia="仿宋_GB2312"/>
          <w:sz w:val="30"/>
          <w:szCs w:val="30"/>
        </w:rPr>
      </w:pPr>
      <w:r>
        <w:fldChar w:fldCharType="begin"/>
      </w:r>
      <w:r>
        <w:instrText xml:space="preserve"> HYPERLINK \l "_Toc90809324" </w:instrText>
      </w:r>
      <w:r>
        <w:fldChar w:fldCharType="separate"/>
      </w:r>
      <w:r>
        <w:rPr>
          <w:rStyle w:val="12"/>
          <w:rFonts w:eastAsia="仿宋_GB2312"/>
          <w:color w:val="auto"/>
          <w:sz w:val="30"/>
          <w:szCs w:val="30"/>
        </w:rPr>
        <w:t>第三节 阳城县发展基础和融入现状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_Toc90809324 \h </w:instrText>
      </w:r>
      <w:r>
        <w:rPr>
          <w:rFonts w:eastAsia="仿宋_GB2312"/>
          <w:sz w:val="30"/>
          <w:szCs w:val="30"/>
        </w:rPr>
        <w:fldChar w:fldCharType="separate"/>
      </w:r>
      <w:r>
        <w:rPr>
          <w:rFonts w:eastAsia="仿宋_GB2312"/>
          <w:sz w:val="30"/>
          <w:szCs w:val="30"/>
        </w:rPr>
        <w:t>7</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ind w:left="0" w:leftChars="0" w:firstLine="210" w:firstLineChars="100"/>
        <w:rPr>
          <w:rFonts w:eastAsia="仿宋_GB2312"/>
          <w:sz w:val="30"/>
          <w:szCs w:val="30"/>
        </w:rPr>
      </w:pPr>
      <w:r>
        <w:fldChar w:fldCharType="begin"/>
      </w:r>
      <w:r>
        <w:instrText xml:space="preserve"> HYPERLINK \l "_Toc90809325" </w:instrText>
      </w:r>
      <w:r>
        <w:fldChar w:fldCharType="separate"/>
      </w:r>
      <w:r>
        <w:rPr>
          <w:rStyle w:val="12"/>
          <w:rFonts w:eastAsia="仿宋_GB2312"/>
          <w:color w:val="auto"/>
          <w:sz w:val="30"/>
          <w:szCs w:val="30"/>
        </w:rPr>
        <w:t>第四节 机遇挑战</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_Toc90809325 \h </w:instrText>
      </w:r>
      <w:r>
        <w:rPr>
          <w:rFonts w:eastAsia="仿宋_GB2312"/>
          <w:sz w:val="30"/>
          <w:szCs w:val="30"/>
        </w:rPr>
        <w:fldChar w:fldCharType="separate"/>
      </w:r>
      <w:r>
        <w:rPr>
          <w:rFonts w:eastAsia="仿宋_GB2312"/>
          <w:sz w:val="30"/>
          <w:szCs w:val="30"/>
        </w:rPr>
        <w:t>14</w:t>
      </w:r>
      <w:r>
        <w:rPr>
          <w:rFonts w:eastAsia="仿宋_GB2312"/>
          <w:sz w:val="30"/>
          <w:szCs w:val="30"/>
        </w:rPr>
        <w:fldChar w:fldCharType="end"/>
      </w:r>
      <w:r>
        <w:rPr>
          <w:rFonts w:eastAsia="仿宋_GB2312"/>
          <w:sz w:val="30"/>
          <w:szCs w:val="30"/>
        </w:rPr>
        <w:fldChar w:fldCharType="end"/>
      </w:r>
    </w:p>
    <w:p>
      <w:pPr>
        <w:pStyle w:val="7"/>
        <w:rPr>
          <w:rStyle w:val="12"/>
          <w:color w:val="auto"/>
        </w:rPr>
      </w:pPr>
      <w:r>
        <w:fldChar w:fldCharType="begin"/>
      </w:r>
      <w:r>
        <w:instrText xml:space="preserve"> HYPERLINK \l "_Toc90809326" </w:instrText>
      </w:r>
      <w:r>
        <w:fldChar w:fldCharType="separate"/>
      </w:r>
      <w:r>
        <w:rPr>
          <w:rStyle w:val="12"/>
          <w:color w:val="auto"/>
        </w:rPr>
        <w:t>第二章 总体思路和目标定位</w:t>
      </w:r>
      <w:r>
        <w:rPr>
          <w:rStyle w:val="12"/>
          <w:color w:val="auto"/>
        </w:rPr>
        <w:tab/>
      </w:r>
      <w:r>
        <w:rPr>
          <w:rStyle w:val="12"/>
          <w:color w:val="auto"/>
        </w:rPr>
        <w:fldChar w:fldCharType="begin"/>
      </w:r>
      <w:r>
        <w:rPr>
          <w:rStyle w:val="12"/>
          <w:color w:val="auto"/>
        </w:rPr>
        <w:instrText xml:space="preserve"> PAGEREF _Toc90809326 \h </w:instrText>
      </w:r>
      <w:r>
        <w:rPr>
          <w:rStyle w:val="12"/>
          <w:color w:val="auto"/>
        </w:rPr>
        <w:fldChar w:fldCharType="separate"/>
      </w:r>
      <w:r>
        <w:rPr>
          <w:rStyle w:val="12"/>
          <w:color w:val="auto"/>
        </w:rPr>
        <w:t>18</w:t>
      </w:r>
      <w:r>
        <w:rPr>
          <w:rStyle w:val="12"/>
          <w:color w:val="auto"/>
        </w:rPr>
        <w:fldChar w:fldCharType="end"/>
      </w:r>
      <w:r>
        <w:rPr>
          <w:rStyle w:val="12"/>
          <w:color w:val="auto"/>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"_Toc90809327" </w:instrText>
      </w:r>
      <w:r>
        <w:fldChar w:fldCharType="separate"/>
      </w:r>
      <w:r>
        <w:rPr>
          <w:rStyle w:val="12"/>
          <w:rFonts w:eastAsia="仿宋_GB2312"/>
          <w:color w:val="auto"/>
          <w:sz w:val="30"/>
          <w:szCs w:val="30"/>
        </w:rPr>
        <w:t>第一节 总体思路</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_Toc90809327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18</w:t>
      </w:r>
      <w:r>
        <w:rPr>
          <w:rStyle w:val="12"/>
          <w:rFonts w:hint="eastAsia"/>
          <w:color w:val="auto"/>
          <w:sz w:val="30"/>
          <w:szCs w:val="30"/>
        </w:rPr>
        <w:fldChar w:fldCharType="end"/>
      </w:r>
      <w:r>
        <w:rPr>
          <w:rStyle w:val="12"/>
          <w:rFonts w:hint="eastAsia"/>
          <w:color w:val="auto"/>
          <w:sz w:val="30"/>
          <w:szCs w:val="30"/>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"_Toc90809328" </w:instrText>
      </w:r>
      <w:r>
        <w:fldChar w:fldCharType="separate"/>
      </w:r>
      <w:r>
        <w:rPr>
          <w:rStyle w:val="12"/>
          <w:rFonts w:eastAsia="仿宋_GB2312"/>
          <w:color w:val="auto"/>
          <w:sz w:val="30"/>
          <w:szCs w:val="30"/>
        </w:rPr>
        <w:t>第二节 发展定位</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_Toc90809328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19</w:t>
      </w:r>
      <w:r>
        <w:rPr>
          <w:rStyle w:val="12"/>
          <w:rFonts w:hint="eastAsia"/>
          <w:color w:val="auto"/>
          <w:sz w:val="30"/>
          <w:szCs w:val="30"/>
        </w:rPr>
        <w:fldChar w:fldCharType="end"/>
      </w:r>
      <w:r>
        <w:rPr>
          <w:rStyle w:val="12"/>
          <w:rFonts w:hint="eastAsia"/>
          <w:color w:val="auto"/>
          <w:sz w:val="30"/>
          <w:szCs w:val="30"/>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"_Toc90809329" </w:instrText>
      </w:r>
      <w:r>
        <w:fldChar w:fldCharType="separate"/>
      </w:r>
      <w:r>
        <w:rPr>
          <w:rStyle w:val="12"/>
          <w:rFonts w:eastAsia="仿宋_GB2312"/>
          <w:color w:val="auto"/>
          <w:sz w:val="30"/>
          <w:szCs w:val="30"/>
        </w:rPr>
        <w:t>第三节 发展路径</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_Toc90809329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20</w:t>
      </w:r>
      <w:r>
        <w:rPr>
          <w:rStyle w:val="12"/>
          <w:rFonts w:hint="eastAsia"/>
          <w:color w:val="auto"/>
          <w:sz w:val="30"/>
          <w:szCs w:val="30"/>
        </w:rPr>
        <w:fldChar w:fldCharType="end"/>
      </w:r>
      <w:r>
        <w:rPr>
          <w:rStyle w:val="12"/>
          <w:rFonts w:hint="eastAsia"/>
          <w:color w:val="auto"/>
          <w:sz w:val="30"/>
          <w:szCs w:val="30"/>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"_Toc90809330" </w:instrText>
      </w:r>
      <w:r>
        <w:fldChar w:fldCharType="separate"/>
      </w:r>
      <w:r>
        <w:rPr>
          <w:rStyle w:val="12"/>
          <w:rFonts w:eastAsia="仿宋_GB2312"/>
          <w:color w:val="auto"/>
          <w:sz w:val="30"/>
          <w:szCs w:val="30"/>
        </w:rPr>
        <w:t>第四节 主要目标</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_Toc90809330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22</w:t>
      </w:r>
      <w:r>
        <w:rPr>
          <w:rStyle w:val="12"/>
          <w:rFonts w:hint="eastAsia"/>
          <w:color w:val="auto"/>
          <w:sz w:val="30"/>
          <w:szCs w:val="30"/>
        </w:rPr>
        <w:fldChar w:fldCharType="end"/>
      </w:r>
      <w:r>
        <w:rPr>
          <w:rStyle w:val="12"/>
          <w:rFonts w:hint="eastAsia"/>
          <w:color w:val="auto"/>
          <w:sz w:val="30"/>
          <w:szCs w:val="30"/>
        </w:rPr>
        <w:fldChar w:fldCharType="end"/>
      </w:r>
    </w:p>
    <w:p>
      <w:pPr>
        <w:pStyle w:val="7"/>
        <w:rPr>
          <w:rStyle w:val="12"/>
          <w:color w:val="auto"/>
        </w:rPr>
      </w:pPr>
      <w:r>
        <w:fldChar w:fldCharType="begin"/>
      </w:r>
      <w:r>
        <w:instrText xml:space="preserve"> HYPERLINK \l "_Toc90809331" </w:instrText>
      </w:r>
      <w:r>
        <w:fldChar w:fldCharType="separate"/>
      </w:r>
      <w:r>
        <w:rPr>
          <w:rStyle w:val="12"/>
          <w:color w:val="auto"/>
        </w:rPr>
        <w:t>第三章 提升互联互通水平，协同构建现代立体交通体系</w:t>
      </w:r>
      <w:r>
        <w:rPr>
          <w:rStyle w:val="12"/>
          <w:color w:val="auto"/>
        </w:rPr>
        <w:tab/>
      </w:r>
      <w:r>
        <w:rPr>
          <w:rStyle w:val="12"/>
          <w:color w:val="auto"/>
        </w:rPr>
        <w:fldChar w:fldCharType="begin"/>
      </w:r>
      <w:r>
        <w:rPr>
          <w:rStyle w:val="12"/>
          <w:color w:val="auto"/>
        </w:rPr>
        <w:instrText xml:space="preserve"> PAGEREF _Toc90809331 \h </w:instrText>
      </w:r>
      <w:r>
        <w:rPr>
          <w:rStyle w:val="12"/>
          <w:color w:val="auto"/>
        </w:rPr>
        <w:fldChar w:fldCharType="separate"/>
      </w:r>
      <w:r>
        <w:rPr>
          <w:rStyle w:val="12"/>
          <w:color w:val="auto"/>
        </w:rPr>
        <w:t>24</w:t>
      </w:r>
      <w:r>
        <w:rPr>
          <w:rStyle w:val="12"/>
          <w:color w:val="auto"/>
        </w:rPr>
        <w:fldChar w:fldCharType="end"/>
      </w:r>
      <w:r>
        <w:rPr>
          <w:rStyle w:val="12"/>
          <w:color w:val="auto"/>
        </w:rPr>
        <w:fldChar w:fldCharType="end"/>
      </w:r>
    </w:p>
    <w:p>
      <w:pPr>
        <w:pStyle w:val="8"/>
        <w:tabs>
          <w:tab w:val="right" w:leader="dot" w:pos="8777"/>
        </w:tabs>
        <w:spacing w:line="500" w:lineRule="exact"/>
        <w:ind w:left="0" w:leftChars="0" w:firstLine="210" w:firstLineChars="100"/>
        <w:rPr>
          <w:rStyle w:val="12"/>
          <w:rFonts w:eastAsia="仿宋_GB2312"/>
          <w:color w:val="auto"/>
          <w:sz w:val="30"/>
          <w:szCs w:val="30"/>
        </w:rPr>
      </w:pPr>
      <w:r>
        <w:fldChar w:fldCharType="begin"/>
      </w:r>
      <w:r>
        <w:instrText xml:space="preserve"> HYPERLINK \l "_Toc90809332" </w:instrText>
      </w:r>
      <w:r>
        <w:fldChar w:fldCharType="separate"/>
      </w:r>
      <w:r>
        <w:rPr>
          <w:rStyle w:val="12"/>
          <w:rFonts w:eastAsia="仿宋_GB2312"/>
          <w:color w:val="auto"/>
          <w:sz w:val="30"/>
          <w:szCs w:val="30"/>
        </w:rPr>
        <w:t>第一节 加快对外通道建设</w:t>
      </w:r>
      <w:r>
        <w:rPr>
          <w:rStyle w:val="12"/>
          <w:rFonts w:eastAsia="仿宋_GB2312"/>
          <w:color w:val="auto"/>
          <w:sz w:val="30"/>
          <w:szCs w:val="30"/>
        </w:rPr>
        <w:tab/>
      </w:r>
      <w:r>
        <w:rPr>
          <w:rStyle w:val="12"/>
          <w:rFonts w:eastAsia="仿宋_GB2312"/>
          <w:color w:val="auto"/>
          <w:sz w:val="30"/>
          <w:szCs w:val="30"/>
        </w:rPr>
        <w:fldChar w:fldCharType="begin"/>
      </w:r>
      <w:r>
        <w:rPr>
          <w:rStyle w:val="12"/>
          <w:rFonts w:eastAsia="仿宋_GB2312"/>
          <w:color w:val="auto"/>
          <w:sz w:val="30"/>
          <w:szCs w:val="30"/>
        </w:rPr>
        <w:instrText xml:space="preserve"> PAGEREF _Toc90809332 \h </w:instrText>
      </w:r>
      <w:r>
        <w:rPr>
          <w:rStyle w:val="12"/>
          <w:rFonts w:eastAsia="仿宋_GB2312"/>
          <w:color w:val="auto"/>
          <w:sz w:val="30"/>
          <w:szCs w:val="30"/>
        </w:rPr>
        <w:fldChar w:fldCharType="separate"/>
      </w:r>
      <w:r>
        <w:rPr>
          <w:rStyle w:val="12"/>
          <w:rFonts w:eastAsia="仿宋_GB2312"/>
          <w:color w:val="auto"/>
          <w:sz w:val="30"/>
          <w:szCs w:val="30"/>
        </w:rPr>
        <w:t>24</w:t>
      </w:r>
      <w:r>
        <w:rPr>
          <w:rStyle w:val="12"/>
          <w:rFonts w:eastAsia="仿宋_GB2312"/>
          <w:color w:val="auto"/>
          <w:sz w:val="30"/>
          <w:szCs w:val="30"/>
        </w:rPr>
        <w:fldChar w:fldCharType="end"/>
      </w:r>
      <w:r>
        <w:rPr>
          <w:rStyle w:val="12"/>
          <w:rFonts w:eastAsia="仿宋_GB2312"/>
          <w:color w:val="auto"/>
          <w:sz w:val="30"/>
          <w:szCs w:val="30"/>
        </w:rPr>
        <w:fldChar w:fldCharType="end"/>
      </w:r>
    </w:p>
    <w:p>
      <w:pPr>
        <w:pStyle w:val="8"/>
        <w:tabs>
          <w:tab w:val="right" w:leader="dot" w:pos="8777"/>
        </w:tabs>
        <w:spacing w:line="500" w:lineRule="exact"/>
        <w:ind w:left="0" w:leftChars="0" w:firstLine="210" w:firstLineChars="100"/>
        <w:rPr>
          <w:rStyle w:val="12"/>
          <w:rFonts w:eastAsia="仿宋_GB2312"/>
          <w:color w:val="auto"/>
          <w:sz w:val="30"/>
          <w:szCs w:val="30"/>
        </w:rPr>
      </w:pPr>
      <w:r>
        <w:fldChar w:fldCharType="begin"/>
      </w:r>
      <w:r>
        <w:instrText xml:space="preserve"> HYPERLINK \l "_Toc90809333" </w:instrText>
      </w:r>
      <w:r>
        <w:fldChar w:fldCharType="separate"/>
      </w:r>
      <w:r>
        <w:rPr>
          <w:rStyle w:val="12"/>
          <w:rFonts w:eastAsia="仿宋_GB2312"/>
          <w:color w:val="auto"/>
          <w:sz w:val="30"/>
          <w:szCs w:val="30"/>
        </w:rPr>
        <w:t>第二节 加强综合交通管理和协作</w:t>
      </w:r>
      <w:r>
        <w:rPr>
          <w:rStyle w:val="12"/>
          <w:rFonts w:eastAsia="仿宋_GB2312"/>
          <w:color w:val="auto"/>
          <w:sz w:val="30"/>
          <w:szCs w:val="30"/>
        </w:rPr>
        <w:tab/>
      </w:r>
      <w:r>
        <w:rPr>
          <w:rStyle w:val="12"/>
          <w:rFonts w:eastAsia="仿宋_GB2312"/>
          <w:color w:val="auto"/>
          <w:sz w:val="30"/>
          <w:szCs w:val="30"/>
        </w:rPr>
        <w:fldChar w:fldCharType="begin"/>
      </w:r>
      <w:r>
        <w:rPr>
          <w:rStyle w:val="12"/>
          <w:rFonts w:eastAsia="仿宋_GB2312"/>
          <w:color w:val="auto"/>
          <w:sz w:val="30"/>
          <w:szCs w:val="30"/>
        </w:rPr>
        <w:instrText xml:space="preserve"> PAGEREF _Toc90809333 \h </w:instrText>
      </w:r>
      <w:r>
        <w:rPr>
          <w:rStyle w:val="12"/>
          <w:rFonts w:eastAsia="仿宋_GB2312"/>
          <w:color w:val="auto"/>
          <w:sz w:val="30"/>
          <w:szCs w:val="30"/>
        </w:rPr>
        <w:fldChar w:fldCharType="separate"/>
      </w:r>
      <w:r>
        <w:rPr>
          <w:rStyle w:val="12"/>
          <w:rFonts w:eastAsia="仿宋_GB2312"/>
          <w:color w:val="auto"/>
          <w:sz w:val="30"/>
          <w:szCs w:val="30"/>
        </w:rPr>
        <w:t>26</w:t>
      </w:r>
      <w:r>
        <w:rPr>
          <w:rStyle w:val="12"/>
          <w:rFonts w:eastAsia="仿宋_GB2312"/>
          <w:color w:val="auto"/>
          <w:sz w:val="30"/>
          <w:szCs w:val="30"/>
        </w:rPr>
        <w:fldChar w:fldCharType="end"/>
      </w:r>
      <w:r>
        <w:rPr>
          <w:rStyle w:val="12"/>
          <w:rFonts w:eastAsia="仿宋_GB2312"/>
          <w:color w:val="auto"/>
          <w:sz w:val="30"/>
          <w:szCs w:val="30"/>
        </w:rPr>
        <w:fldChar w:fldCharType="end"/>
      </w:r>
    </w:p>
    <w:p>
      <w:pPr>
        <w:pStyle w:val="8"/>
        <w:tabs>
          <w:tab w:val="right" w:leader="dot" w:pos="8777"/>
        </w:tabs>
        <w:spacing w:line="500" w:lineRule="exact"/>
        <w:ind w:left="0" w:leftChars="0" w:firstLine="210" w:firstLineChars="100"/>
        <w:rPr>
          <w:rStyle w:val="12"/>
          <w:rFonts w:eastAsia="仿宋_GB2312"/>
          <w:color w:val="auto"/>
          <w:sz w:val="30"/>
          <w:szCs w:val="30"/>
        </w:rPr>
      </w:pPr>
      <w:r>
        <w:fldChar w:fldCharType="begin"/>
      </w:r>
      <w:r>
        <w:instrText xml:space="preserve"> HYPERLINK \l "_Toc90809334" </w:instrText>
      </w:r>
      <w:r>
        <w:fldChar w:fldCharType="separate"/>
      </w:r>
      <w:r>
        <w:rPr>
          <w:rStyle w:val="12"/>
          <w:rFonts w:eastAsia="仿宋_GB2312"/>
          <w:color w:val="auto"/>
          <w:sz w:val="30"/>
          <w:szCs w:val="30"/>
        </w:rPr>
        <w:t>第三节 大力发展多式联运</w:t>
      </w:r>
      <w:r>
        <w:rPr>
          <w:rStyle w:val="12"/>
          <w:rFonts w:eastAsia="仿宋_GB2312"/>
          <w:color w:val="auto"/>
          <w:sz w:val="30"/>
          <w:szCs w:val="30"/>
        </w:rPr>
        <w:tab/>
      </w:r>
      <w:r>
        <w:rPr>
          <w:rStyle w:val="12"/>
          <w:rFonts w:eastAsia="仿宋_GB2312"/>
          <w:color w:val="auto"/>
          <w:sz w:val="30"/>
          <w:szCs w:val="30"/>
        </w:rPr>
        <w:fldChar w:fldCharType="begin"/>
      </w:r>
      <w:r>
        <w:rPr>
          <w:rStyle w:val="12"/>
          <w:rFonts w:eastAsia="仿宋_GB2312"/>
          <w:color w:val="auto"/>
          <w:sz w:val="30"/>
          <w:szCs w:val="30"/>
        </w:rPr>
        <w:instrText xml:space="preserve"> PAGEREF _Toc90809334 \h </w:instrText>
      </w:r>
      <w:r>
        <w:rPr>
          <w:rStyle w:val="12"/>
          <w:rFonts w:eastAsia="仿宋_GB2312"/>
          <w:color w:val="auto"/>
          <w:sz w:val="30"/>
          <w:szCs w:val="30"/>
        </w:rPr>
        <w:fldChar w:fldCharType="separate"/>
      </w:r>
      <w:r>
        <w:rPr>
          <w:rStyle w:val="12"/>
          <w:rFonts w:eastAsia="仿宋_GB2312"/>
          <w:color w:val="auto"/>
          <w:sz w:val="30"/>
          <w:szCs w:val="30"/>
        </w:rPr>
        <w:t>27</w:t>
      </w:r>
      <w:r>
        <w:rPr>
          <w:rStyle w:val="12"/>
          <w:rFonts w:eastAsia="仿宋_GB2312"/>
          <w:color w:val="auto"/>
          <w:sz w:val="30"/>
          <w:szCs w:val="30"/>
        </w:rPr>
        <w:fldChar w:fldCharType="end"/>
      </w:r>
      <w:r>
        <w:rPr>
          <w:rStyle w:val="12"/>
          <w:rFonts w:eastAsia="仿宋_GB2312"/>
          <w:color w:val="auto"/>
          <w:sz w:val="30"/>
          <w:szCs w:val="30"/>
        </w:rPr>
        <w:fldChar w:fldCharType="end"/>
      </w:r>
    </w:p>
    <w:p>
      <w:pPr>
        <w:pStyle w:val="7"/>
        <w:rPr>
          <w:rStyle w:val="12"/>
          <w:color w:val="auto"/>
        </w:rPr>
      </w:pPr>
      <w:r>
        <w:fldChar w:fldCharType="begin"/>
      </w:r>
      <w:r>
        <w:instrText xml:space="preserve"> HYPERLINK \l "_Toc90809335" </w:instrText>
      </w:r>
      <w:r>
        <w:fldChar w:fldCharType="separate"/>
      </w:r>
      <w:r>
        <w:rPr>
          <w:rStyle w:val="12"/>
          <w:color w:val="auto"/>
        </w:rPr>
        <w:t>第四章 构筑科技创新平台，融入跨区域发展创新共同体</w:t>
      </w:r>
      <w:r>
        <w:rPr>
          <w:rStyle w:val="12"/>
          <w:color w:val="auto"/>
        </w:rPr>
        <w:tab/>
      </w:r>
      <w:r>
        <w:rPr>
          <w:rStyle w:val="12"/>
          <w:color w:val="auto"/>
        </w:rPr>
        <w:fldChar w:fldCharType="begin"/>
      </w:r>
      <w:r>
        <w:rPr>
          <w:rStyle w:val="12"/>
          <w:color w:val="auto"/>
        </w:rPr>
        <w:instrText xml:space="preserve"> PAGEREF _Toc90809335 \h </w:instrText>
      </w:r>
      <w:r>
        <w:rPr>
          <w:rStyle w:val="12"/>
          <w:color w:val="auto"/>
        </w:rPr>
        <w:fldChar w:fldCharType="separate"/>
      </w:r>
      <w:r>
        <w:rPr>
          <w:rStyle w:val="12"/>
          <w:color w:val="auto"/>
        </w:rPr>
        <w:t>29</w:t>
      </w:r>
      <w:r>
        <w:rPr>
          <w:rStyle w:val="12"/>
          <w:color w:val="auto"/>
        </w:rPr>
        <w:fldChar w:fldCharType="end"/>
      </w:r>
      <w:r>
        <w:rPr>
          <w:rStyle w:val="12"/>
          <w:color w:val="auto"/>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"_Toc90809336" </w:instrText>
      </w:r>
      <w:r>
        <w:fldChar w:fldCharType="separate"/>
      </w:r>
      <w:r>
        <w:rPr>
          <w:rStyle w:val="12"/>
          <w:rFonts w:eastAsia="仿宋_GB2312"/>
          <w:color w:val="auto"/>
          <w:sz w:val="30"/>
          <w:szCs w:val="30"/>
        </w:rPr>
        <w:t>第一节 加快科技创新平台发展</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_Toc90809336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29</w:t>
      </w:r>
      <w:r>
        <w:rPr>
          <w:rStyle w:val="12"/>
          <w:rFonts w:hint="eastAsia"/>
          <w:color w:val="auto"/>
          <w:sz w:val="30"/>
          <w:szCs w:val="30"/>
        </w:rPr>
        <w:fldChar w:fldCharType="end"/>
      </w:r>
      <w:r>
        <w:rPr>
          <w:rStyle w:val="12"/>
          <w:rFonts w:hint="eastAsia"/>
          <w:color w:val="auto"/>
          <w:sz w:val="30"/>
          <w:szCs w:val="30"/>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"_Toc90809337" </w:instrText>
      </w:r>
      <w:r>
        <w:fldChar w:fldCharType="separate"/>
      </w:r>
      <w:r>
        <w:rPr>
          <w:rStyle w:val="12"/>
          <w:rFonts w:eastAsia="仿宋_GB2312"/>
          <w:color w:val="auto"/>
          <w:sz w:val="30"/>
          <w:szCs w:val="30"/>
        </w:rPr>
        <w:t>第二节 打造一流创新创业环境</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_Toc90809337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30</w:t>
      </w:r>
      <w:r>
        <w:rPr>
          <w:rStyle w:val="12"/>
          <w:rFonts w:hint="eastAsia"/>
          <w:color w:val="auto"/>
          <w:sz w:val="30"/>
          <w:szCs w:val="30"/>
        </w:rPr>
        <w:fldChar w:fldCharType="end"/>
      </w:r>
      <w:r>
        <w:rPr>
          <w:rStyle w:val="12"/>
          <w:rFonts w:hint="eastAsia"/>
          <w:color w:val="auto"/>
          <w:sz w:val="30"/>
          <w:szCs w:val="30"/>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"_Toc90809338" </w:instrText>
      </w:r>
      <w:r>
        <w:fldChar w:fldCharType="separate"/>
      </w:r>
      <w:r>
        <w:rPr>
          <w:rStyle w:val="12"/>
          <w:rFonts w:eastAsia="仿宋_GB2312"/>
          <w:color w:val="auto"/>
          <w:sz w:val="30"/>
          <w:szCs w:val="30"/>
        </w:rPr>
        <w:t>第三节 积极参与区域协同创新</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_Toc90809338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32</w:t>
      </w:r>
      <w:r>
        <w:rPr>
          <w:rStyle w:val="12"/>
          <w:rFonts w:hint="eastAsia"/>
          <w:color w:val="auto"/>
          <w:sz w:val="30"/>
          <w:szCs w:val="30"/>
        </w:rPr>
        <w:fldChar w:fldCharType="end"/>
      </w:r>
      <w:r>
        <w:rPr>
          <w:rStyle w:val="12"/>
          <w:rFonts w:hint="eastAsia"/>
          <w:color w:val="auto"/>
          <w:sz w:val="30"/>
          <w:szCs w:val="30"/>
        </w:rPr>
        <w:fldChar w:fldCharType="end"/>
      </w:r>
    </w:p>
    <w:p>
      <w:pPr>
        <w:pStyle w:val="8"/>
        <w:tabs>
          <w:tab w:val="right" w:leader="dot" w:pos="8777"/>
        </w:tabs>
        <w:spacing w:line="500" w:lineRule="exact"/>
        <w:ind w:left="0" w:leftChars="0" w:firstLine="210" w:firstLineChars="100"/>
        <w:rPr>
          <w:rStyle w:val="12"/>
          <w:color w:val="auto"/>
          <w:sz w:val="30"/>
          <w:szCs w:val="30"/>
        </w:rPr>
      </w:pPr>
      <w:r>
        <w:fldChar w:fldCharType="begin"/>
      </w:r>
      <w:r>
        <w:instrText xml:space="preserve"> HYPERLINK \l "_Toc90809339" </w:instrText>
      </w:r>
      <w:r>
        <w:fldChar w:fldCharType="separate"/>
      </w:r>
      <w:r>
        <w:rPr>
          <w:rStyle w:val="12"/>
          <w:rFonts w:eastAsia="仿宋_GB2312"/>
          <w:color w:val="auto"/>
          <w:sz w:val="30"/>
          <w:szCs w:val="30"/>
        </w:rPr>
        <w:t>第四节 加快集聚创新人才</w:t>
      </w:r>
      <w:r>
        <w:rPr>
          <w:rStyle w:val="12"/>
          <w:rFonts w:hint="eastAsia"/>
          <w:color w:val="auto"/>
          <w:sz w:val="30"/>
          <w:szCs w:val="30"/>
        </w:rPr>
        <w:tab/>
      </w:r>
      <w:r>
        <w:rPr>
          <w:rStyle w:val="12"/>
          <w:rFonts w:hint="eastAsia"/>
          <w:color w:val="auto"/>
          <w:sz w:val="30"/>
          <w:szCs w:val="30"/>
        </w:rPr>
        <w:fldChar w:fldCharType="begin"/>
      </w:r>
      <w:r>
        <w:rPr>
          <w:rStyle w:val="12"/>
          <w:rFonts w:hint="eastAsia"/>
          <w:color w:val="auto"/>
          <w:sz w:val="30"/>
          <w:szCs w:val="30"/>
        </w:rPr>
        <w:instrText xml:space="preserve"> </w:instrText>
      </w:r>
      <w:r>
        <w:rPr>
          <w:rStyle w:val="12"/>
          <w:color w:val="auto"/>
          <w:sz w:val="30"/>
          <w:szCs w:val="30"/>
        </w:rPr>
        <w:instrText xml:space="preserve">PAGEREF _Toc90809339 \h</w:instrText>
      </w:r>
      <w:r>
        <w:rPr>
          <w:rStyle w:val="12"/>
          <w:rFonts w:hint="eastAsia"/>
          <w:color w:val="auto"/>
          <w:sz w:val="30"/>
          <w:szCs w:val="30"/>
        </w:rPr>
        <w:instrText xml:space="preserve"> </w:instrText>
      </w:r>
      <w:r>
        <w:rPr>
          <w:rStyle w:val="12"/>
          <w:rFonts w:hint="eastAsia"/>
          <w:color w:val="auto"/>
          <w:sz w:val="30"/>
          <w:szCs w:val="30"/>
        </w:rPr>
        <w:fldChar w:fldCharType="separate"/>
      </w:r>
      <w:r>
        <w:rPr>
          <w:rStyle w:val="12"/>
          <w:color w:val="auto"/>
          <w:sz w:val="30"/>
          <w:szCs w:val="30"/>
        </w:rPr>
        <w:t>32</w:t>
      </w:r>
      <w:r>
        <w:rPr>
          <w:rStyle w:val="12"/>
          <w:rFonts w:hint="eastAsia"/>
          <w:color w:val="auto"/>
          <w:sz w:val="30"/>
          <w:szCs w:val="30"/>
        </w:rPr>
        <w:fldChar w:fldCharType="end"/>
      </w:r>
      <w:r>
        <w:rPr>
          <w:rStyle w:val="12"/>
          <w:rFonts w:hint="eastAsia"/>
          <w:color w:val="auto"/>
          <w:sz w:val="30"/>
          <w:szCs w:val="30"/>
        </w:rPr>
        <w:fldChar w:fldCharType="end"/>
      </w:r>
    </w:p>
    <w:p>
      <w:pPr>
        <w:pStyle w:val="7"/>
        <w:rPr>
          <w:rStyle w:val="12"/>
          <w:color w:val="auto"/>
        </w:rPr>
      </w:pPr>
      <w:r>
        <w:fldChar w:fldCharType="begin"/>
      </w:r>
      <w:r>
        <w:instrText xml:space="preserve"> HYPERLINK \l "_Toc90809340" </w:instrText>
      </w:r>
      <w:r>
        <w:fldChar w:fldCharType="separate"/>
      </w:r>
      <w:r>
        <w:rPr>
          <w:rStyle w:val="12"/>
          <w:color w:val="auto"/>
        </w:rPr>
        <w:t>第五章 打造产业融合高地，构建跨区域产业协作新体系</w:t>
      </w:r>
      <w:r>
        <w:rPr>
          <w:rStyle w:val="12"/>
          <w:color w:val="auto"/>
        </w:rPr>
        <w:tab/>
      </w:r>
      <w:r>
        <w:rPr>
          <w:rStyle w:val="12"/>
          <w:color w:val="auto"/>
        </w:rPr>
        <w:fldChar w:fldCharType="begin"/>
      </w:r>
      <w:r>
        <w:rPr>
          <w:rStyle w:val="12"/>
          <w:color w:val="auto"/>
        </w:rPr>
        <w:instrText xml:space="preserve"> PAGEREF _Toc90809340 \h </w:instrText>
      </w:r>
      <w:r>
        <w:rPr>
          <w:rStyle w:val="12"/>
          <w:color w:val="auto"/>
        </w:rPr>
        <w:fldChar w:fldCharType="separate"/>
      </w:r>
      <w:r>
        <w:rPr>
          <w:rStyle w:val="12"/>
          <w:color w:val="auto"/>
        </w:rPr>
        <w:t>35</w:t>
      </w:r>
      <w:r>
        <w:rPr>
          <w:rStyle w:val="12"/>
          <w:color w:val="auto"/>
        </w:rPr>
        <w:fldChar w:fldCharType="end"/>
      </w:r>
      <w:r>
        <w:rPr>
          <w:rStyle w:val="12"/>
          <w:color w:val="auto"/>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"_Toc90809341" </w:instrText>
      </w:r>
      <w:r>
        <w:fldChar w:fldCharType="separate"/>
      </w:r>
      <w:r>
        <w:rPr>
          <w:rStyle w:val="12"/>
          <w:rFonts w:eastAsia="仿宋_GB2312"/>
          <w:bCs/>
          <w:color w:val="auto"/>
          <w:sz w:val="30"/>
          <w:szCs w:val="30"/>
        </w:rPr>
        <w:t>第一节 加快农业“特”“优”发展</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_Toc90809341 \h </w:instrText>
      </w:r>
      <w:r>
        <w:rPr>
          <w:rFonts w:eastAsia="仿宋_GB2312"/>
          <w:sz w:val="30"/>
          <w:szCs w:val="30"/>
        </w:rPr>
        <w:fldChar w:fldCharType="separate"/>
      </w:r>
      <w:r>
        <w:rPr>
          <w:rFonts w:eastAsia="仿宋_GB2312"/>
          <w:sz w:val="30"/>
          <w:szCs w:val="30"/>
        </w:rPr>
        <w:t>35</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"_Toc90809342" </w:instrText>
      </w:r>
      <w:r>
        <w:fldChar w:fldCharType="separate"/>
      </w:r>
      <w:r>
        <w:rPr>
          <w:rStyle w:val="12"/>
          <w:rFonts w:eastAsia="仿宋_GB2312"/>
          <w:bCs/>
          <w:color w:val="auto"/>
          <w:sz w:val="30"/>
          <w:szCs w:val="30"/>
        </w:rPr>
        <w:t>第二节 积极谋划制造业链式协作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_Toc90809342 \h </w:instrText>
      </w:r>
      <w:r>
        <w:rPr>
          <w:rFonts w:eastAsia="仿宋_GB2312"/>
          <w:sz w:val="30"/>
          <w:szCs w:val="30"/>
        </w:rPr>
        <w:fldChar w:fldCharType="separate"/>
      </w:r>
      <w:r>
        <w:rPr>
          <w:rFonts w:eastAsia="仿宋_GB2312"/>
          <w:sz w:val="30"/>
          <w:szCs w:val="30"/>
        </w:rPr>
        <w:t>36</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"_Toc90809343" </w:instrText>
      </w:r>
      <w:r>
        <w:fldChar w:fldCharType="separate"/>
      </w:r>
      <w:r>
        <w:rPr>
          <w:rStyle w:val="12"/>
          <w:rFonts w:eastAsia="仿宋_GB2312"/>
          <w:bCs/>
          <w:color w:val="auto"/>
          <w:sz w:val="30"/>
          <w:szCs w:val="30"/>
        </w:rPr>
        <w:t>第三节 加快推进服务业战略合作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_Toc90809343 \h </w:instrText>
      </w:r>
      <w:r>
        <w:rPr>
          <w:rFonts w:eastAsia="仿宋_GB2312"/>
          <w:sz w:val="30"/>
          <w:szCs w:val="30"/>
        </w:rPr>
        <w:fldChar w:fldCharType="separate"/>
      </w:r>
      <w:r>
        <w:rPr>
          <w:rFonts w:eastAsia="仿宋_GB2312"/>
          <w:sz w:val="30"/>
          <w:szCs w:val="30"/>
        </w:rPr>
        <w:t>37</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"_Toc90809344" </w:instrText>
      </w:r>
      <w:r>
        <w:fldChar w:fldCharType="separate"/>
      </w:r>
      <w:r>
        <w:rPr>
          <w:rStyle w:val="12"/>
          <w:rFonts w:eastAsia="仿宋_GB2312"/>
          <w:bCs/>
          <w:color w:val="auto"/>
          <w:sz w:val="30"/>
          <w:szCs w:val="30"/>
        </w:rPr>
        <w:t>第四节 完善产业协同机制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_Toc90809344 \h </w:instrText>
      </w:r>
      <w:r>
        <w:rPr>
          <w:rFonts w:eastAsia="仿宋_GB2312"/>
          <w:sz w:val="30"/>
          <w:szCs w:val="30"/>
        </w:rPr>
        <w:fldChar w:fldCharType="separate"/>
      </w:r>
      <w:r>
        <w:rPr>
          <w:rFonts w:eastAsia="仿宋_GB2312"/>
          <w:sz w:val="30"/>
          <w:szCs w:val="30"/>
        </w:rPr>
        <w:t>39</w:t>
      </w:r>
      <w:r>
        <w:rPr>
          <w:rFonts w:eastAsia="仿宋_GB2312"/>
          <w:sz w:val="30"/>
          <w:szCs w:val="30"/>
        </w:rPr>
        <w:fldChar w:fldCharType="end"/>
      </w:r>
      <w:r>
        <w:rPr>
          <w:rFonts w:eastAsia="仿宋_GB2312"/>
          <w:sz w:val="30"/>
          <w:szCs w:val="30"/>
        </w:rPr>
        <w:fldChar w:fldCharType="end"/>
      </w:r>
    </w:p>
    <w:p>
      <w:pPr>
        <w:pStyle w:val="7"/>
        <w:rPr>
          <w:rStyle w:val="12"/>
          <w:color w:val="auto"/>
        </w:rPr>
      </w:pPr>
      <w:r>
        <w:fldChar w:fldCharType="begin"/>
      </w:r>
      <w:r>
        <w:instrText xml:space="preserve"> HYPERLINK \l "_Toc90809345" </w:instrText>
      </w:r>
      <w:r>
        <w:fldChar w:fldCharType="separate"/>
      </w:r>
      <w:r>
        <w:rPr>
          <w:rStyle w:val="12"/>
          <w:color w:val="auto"/>
        </w:rPr>
        <w:t>第六章 全面提升开放能级，</w:t>
      </w:r>
      <w:r>
        <w:rPr>
          <w:rStyle w:val="12"/>
          <w:rFonts w:hint="eastAsia"/>
          <w:color w:val="auto"/>
        </w:rPr>
        <w:t>打造内陆对外开放新高地桥头堡的前哨阵地</w:t>
      </w:r>
      <w:r>
        <w:rPr>
          <w:rStyle w:val="12"/>
          <w:color w:val="auto"/>
        </w:rPr>
        <w:tab/>
      </w:r>
      <w:r>
        <w:rPr>
          <w:rStyle w:val="12"/>
          <w:color w:val="auto"/>
        </w:rPr>
        <w:fldChar w:fldCharType="begin"/>
      </w:r>
      <w:r>
        <w:rPr>
          <w:rStyle w:val="12"/>
          <w:color w:val="auto"/>
        </w:rPr>
        <w:instrText xml:space="preserve"> PAGEREF _Toc90809345 \h </w:instrText>
      </w:r>
      <w:r>
        <w:rPr>
          <w:rStyle w:val="12"/>
          <w:color w:val="auto"/>
        </w:rPr>
        <w:fldChar w:fldCharType="separate"/>
      </w:r>
      <w:r>
        <w:rPr>
          <w:rStyle w:val="12"/>
          <w:color w:val="auto"/>
        </w:rPr>
        <w:t>43</w:t>
      </w:r>
      <w:r>
        <w:rPr>
          <w:rStyle w:val="12"/>
          <w:color w:val="auto"/>
        </w:rPr>
        <w:fldChar w:fldCharType="end"/>
      </w:r>
      <w:r>
        <w:rPr>
          <w:rStyle w:val="12"/>
          <w:color w:val="auto"/>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"_Toc90809346" </w:instrText>
      </w:r>
      <w:r>
        <w:fldChar w:fldCharType="separate"/>
      </w:r>
      <w:r>
        <w:rPr>
          <w:rStyle w:val="12"/>
          <w:rFonts w:eastAsia="仿宋_GB2312"/>
          <w:bCs/>
          <w:color w:val="auto"/>
          <w:sz w:val="30"/>
          <w:szCs w:val="30"/>
        </w:rPr>
        <w:t>第一节 提升开发区平台功能</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_Toc90809346 \h </w:instrText>
      </w:r>
      <w:r>
        <w:rPr>
          <w:rFonts w:eastAsia="仿宋_GB2312"/>
          <w:sz w:val="30"/>
          <w:szCs w:val="30"/>
        </w:rPr>
        <w:fldChar w:fldCharType="separate"/>
      </w:r>
      <w:r>
        <w:rPr>
          <w:rFonts w:eastAsia="仿宋_GB2312"/>
          <w:sz w:val="30"/>
          <w:szCs w:val="30"/>
        </w:rPr>
        <w:t>43</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"_Toc90809347" </w:instrText>
      </w:r>
      <w:r>
        <w:fldChar w:fldCharType="separate"/>
      </w:r>
      <w:r>
        <w:rPr>
          <w:rStyle w:val="12"/>
          <w:rFonts w:eastAsia="仿宋_GB2312"/>
          <w:bCs/>
          <w:color w:val="auto"/>
          <w:sz w:val="30"/>
          <w:szCs w:val="30"/>
        </w:rPr>
        <w:t>第二节 大力开展招商引资</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_Toc90809347 \h </w:instrText>
      </w:r>
      <w:r>
        <w:rPr>
          <w:rFonts w:eastAsia="仿宋_GB2312"/>
          <w:sz w:val="30"/>
          <w:szCs w:val="30"/>
        </w:rPr>
        <w:fldChar w:fldCharType="separate"/>
      </w:r>
      <w:r>
        <w:rPr>
          <w:rFonts w:eastAsia="仿宋_GB2312"/>
          <w:sz w:val="30"/>
          <w:szCs w:val="30"/>
        </w:rPr>
        <w:t>44</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"_Toc90809348" </w:instrText>
      </w:r>
      <w:r>
        <w:fldChar w:fldCharType="separate"/>
      </w:r>
      <w:r>
        <w:rPr>
          <w:rStyle w:val="12"/>
          <w:rFonts w:eastAsia="仿宋_GB2312"/>
          <w:bCs/>
          <w:color w:val="auto"/>
          <w:sz w:val="30"/>
          <w:szCs w:val="30"/>
        </w:rPr>
        <w:t>第三节 积极参与共建“一带一路”</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_Toc90809348 \h </w:instrText>
      </w:r>
      <w:r>
        <w:rPr>
          <w:rFonts w:eastAsia="仿宋_GB2312"/>
          <w:sz w:val="30"/>
          <w:szCs w:val="30"/>
        </w:rPr>
        <w:fldChar w:fldCharType="separate"/>
      </w:r>
      <w:r>
        <w:rPr>
          <w:rFonts w:eastAsia="仿宋_GB2312"/>
          <w:sz w:val="30"/>
          <w:szCs w:val="30"/>
        </w:rPr>
        <w:t>45</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"_Toc90809349" </w:instrText>
      </w:r>
      <w:r>
        <w:fldChar w:fldCharType="separate"/>
      </w:r>
      <w:r>
        <w:rPr>
          <w:rStyle w:val="12"/>
          <w:rFonts w:eastAsia="仿宋_GB2312"/>
          <w:bCs/>
          <w:color w:val="auto"/>
          <w:sz w:val="30"/>
          <w:szCs w:val="30"/>
        </w:rPr>
        <w:t>第四节 打造一流营商环境</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_Toc90809349 \h </w:instrText>
      </w:r>
      <w:r>
        <w:rPr>
          <w:rFonts w:eastAsia="仿宋_GB2312"/>
          <w:sz w:val="30"/>
          <w:szCs w:val="30"/>
        </w:rPr>
        <w:fldChar w:fldCharType="separate"/>
      </w:r>
      <w:r>
        <w:rPr>
          <w:rFonts w:eastAsia="仿宋_GB2312"/>
          <w:sz w:val="30"/>
          <w:szCs w:val="30"/>
        </w:rPr>
        <w:t>47</w:t>
      </w:r>
      <w:r>
        <w:rPr>
          <w:rFonts w:eastAsia="仿宋_GB2312"/>
          <w:sz w:val="30"/>
          <w:szCs w:val="30"/>
        </w:rPr>
        <w:fldChar w:fldCharType="end"/>
      </w:r>
      <w:r>
        <w:rPr>
          <w:rFonts w:eastAsia="仿宋_GB2312"/>
          <w:sz w:val="30"/>
          <w:szCs w:val="30"/>
        </w:rPr>
        <w:fldChar w:fldCharType="end"/>
      </w:r>
    </w:p>
    <w:p>
      <w:pPr>
        <w:pStyle w:val="7"/>
        <w:rPr>
          <w:rStyle w:val="12"/>
          <w:color w:val="auto"/>
        </w:rPr>
      </w:pPr>
      <w:r>
        <w:fldChar w:fldCharType="begin"/>
      </w:r>
      <w:r>
        <w:instrText xml:space="preserve"> HYPERLINK \l "_Toc90809350" </w:instrText>
      </w:r>
      <w:r>
        <w:fldChar w:fldCharType="separate"/>
      </w:r>
      <w:r>
        <w:rPr>
          <w:rStyle w:val="12"/>
          <w:color w:val="auto"/>
        </w:rPr>
        <w:t>第七章 坚持绿色低碳发展，推动生态环境保护共同治理</w:t>
      </w:r>
      <w:r>
        <w:rPr>
          <w:rStyle w:val="12"/>
          <w:color w:val="auto"/>
        </w:rPr>
        <w:tab/>
      </w:r>
      <w:r>
        <w:rPr>
          <w:rStyle w:val="12"/>
          <w:color w:val="auto"/>
        </w:rPr>
        <w:fldChar w:fldCharType="begin"/>
      </w:r>
      <w:r>
        <w:rPr>
          <w:rStyle w:val="12"/>
          <w:color w:val="auto"/>
        </w:rPr>
        <w:instrText xml:space="preserve"> PAGEREF _Toc90809350 \h </w:instrText>
      </w:r>
      <w:r>
        <w:rPr>
          <w:rStyle w:val="12"/>
          <w:color w:val="auto"/>
        </w:rPr>
        <w:fldChar w:fldCharType="separate"/>
      </w:r>
      <w:r>
        <w:rPr>
          <w:rStyle w:val="12"/>
          <w:color w:val="auto"/>
        </w:rPr>
        <w:t>50</w:t>
      </w:r>
      <w:r>
        <w:rPr>
          <w:rStyle w:val="12"/>
          <w:color w:val="auto"/>
        </w:rPr>
        <w:fldChar w:fldCharType="end"/>
      </w:r>
      <w:r>
        <w:rPr>
          <w:rStyle w:val="12"/>
          <w:color w:val="auto"/>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"_Toc90809351" </w:instrText>
      </w:r>
      <w:r>
        <w:fldChar w:fldCharType="separate"/>
      </w:r>
      <w:r>
        <w:rPr>
          <w:rStyle w:val="12"/>
          <w:rFonts w:eastAsia="仿宋_GB2312"/>
          <w:bCs/>
          <w:color w:val="auto"/>
          <w:sz w:val="30"/>
          <w:szCs w:val="30"/>
        </w:rPr>
        <w:t>第一节 推进生态文明建设工程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_Toc90809351 \h </w:instrText>
      </w:r>
      <w:r>
        <w:rPr>
          <w:rFonts w:eastAsia="仿宋_GB2312"/>
          <w:sz w:val="30"/>
          <w:szCs w:val="30"/>
        </w:rPr>
        <w:fldChar w:fldCharType="separate"/>
      </w:r>
      <w:r>
        <w:rPr>
          <w:rFonts w:eastAsia="仿宋_GB2312"/>
          <w:sz w:val="30"/>
          <w:szCs w:val="30"/>
        </w:rPr>
        <w:t>50</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"_Toc90809352" </w:instrText>
      </w:r>
      <w:r>
        <w:fldChar w:fldCharType="separate"/>
      </w:r>
      <w:r>
        <w:rPr>
          <w:rStyle w:val="12"/>
          <w:rFonts w:eastAsia="仿宋_GB2312"/>
          <w:bCs/>
          <w:color w:val="auto"/>
          <w:sz w:val="30"/>
          <w:szCs w:val="30"/>
        </w:rPr>
        <w:t>第二节 健全生态文明联动机制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_Toc90809352 \h </w:instrText>
      </w:r>
      <w:r>
        <w:rPr>
          <w:rFonts w:eastAsia="仿宋_GB2312"/>
          <w:sz w:val="30"/>
          <w:szCs w:val="30"/>
        </w:rPr>
        <w:fldChar w:fldCharType="separate"/>
      </w:r>
      <w:r>
        <w:rPr>
          <w:rFonts w:eastAsia="仿宋_GB2312"/>
          <w:sz w:val="30"/>
          <w:szCs w:val="30"/>
        </w:rPr>
        <w:t>51</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"_Toc90809353" </w:instrText>
      </w:r>
      <w:r>
        <w:fldChar w:fldCharType="separate"/>
      </w:r>
      <w:r>
        <w:rPr>
          <w:rStyle w:val="12"/>
          <w:rFonts w:eastAsia="仿宋_GB2312"/>
          <w:bCs/>
          <w:color w:val="auto"/>
          <w:sz w:val="30"/>
          <w:szCs w:val="30"/>
        </w:rPr>
        <w:t>第三节 创新环境协同治理模式</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_Toc90809353 \h </w:instrText>
      </w:r>
      <w:r>
        <w:rPr>
          <w:rFonts w:eastAsia="仿宋_GB2312"/>
          <w:sz w:val="30"/>
          <w:szCs w:val="30"/>
        </w:rPr>
        <w:fldChar w:fldCharType="separate"/>
      </w:r>
      <w:r>
        <w:rPr>
          <w:rFonts w:eastAsia="仿宋_GB2312"/>
          <w:sz w:val="30"/>
          <w:szCs w:val="30"/>
        </w:rPr>
        <w:t>52</w:t>
      </w:r>
      <w:r>
        <w:rPr>
          <w:rFonts w:eastAsia="仿宋_GB2312"/>
          <w:sz w:val="30"/>
          <w:szCs w:val="30"/>
        </w:rPr>
        <w:fldChar w:fldCharType="end"/>
      </w:r>
      <w:r>
        <w:rPr>
          <w:rFonts w:eastAsia="仿宋_GB2312"/>
          <w:sz w:val="30"/>
          <w:szCs w:val="30"/>
        </w:rPr>
        <w:fldChar w:fldCharType="end"/>
      </w:r>
    </w:p>
    <w:p>
      <w:pPr>
        <w:pStyle w:val="7"/>
        <w:rPr>
          <w:rStyle w:val="12"/>
          <w:color w:val="auto"/>
        </w:rPr>
      </w:pPr>
      <w:r>
        <w:fldChar w:fldCharType="begin"/>
      </w:r>
      <w:r>
        <w:instrText xml:space="preserve"> HYPERLINK \l "_Toc90809354" </w:instrText>
      </w:r>
      <w:r>
        <w:fldChar w:fldCharType="separate"/>
      </w:r>
      <w:r>
        <w:rPr>
          <w:rStyle w:val="12"/>
          <w:color w:val="auto"/>
        </w:rPr>
        <w:t>第八章 建设生态宜居城市，共建共享共创幸福美好生活</w:t>
      </w:r>
      <w:r>
        <w:rPr>
          <w:rStyle w:val="12"/>
          <w:color w:val="auto"/>
        </w:rPr>
        <w:tab/>
      </w:r>
      <w:r>
        <w:rPr>
          <w:rStyle w:val="12"/>
          <w:color w:val="auto"/>
        </w:rPr>
        <w:fldChar w:fldCharType="begin"/>
      </w:r>
      <w:r>
        <w:rPr>
          <w:rStyle w:val="12"/>
          <w:color w:val="auto"/>
        </w:rPr>
        <w:instrText xml:space="preserve"> PAGEREF _Toc90809354 \h </w:instrText>
      </w:r>
      <w:r>
        <w:rPr>
          <w:rStyle w:val="12"/>
          <w:color w:val="auto"/>
        </w:rPr>
        <w:fldChar w:fldCharType="separate"/>
      </w:r>
      <w:r>
        <w:rPr>
          <w:rStyle w:val="12"/>
          <w:color w:val="auto"/>
        </w:rPr>
        <w:t>55</w:t>
      </w:r>
      <w:r>
        <w:rPr>
          <w:rStyle w:val="12"/>
          <w:color w:val="auto"/>
        </w:rPr>
        <w:fldChar w:fldCharType="end"/>
      </w:r>
      <w:r>
        <w:rPr>
          <w:rStyle w:val="12"/>
          <w:color w:val="auto"/>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"_Toc90809355" </w:instrText>
      </w:r>
      <w:r>
        <w:fldChar w:fldCharType="separate"/>
      </w:r>
      <w:r>
        <w:rPr>
          <w:rStyle w:val="12"/>
          <w:rFonts w:eastAsia="仿宋_GB2312"/>
          <w:bCs/>
          <w:color w:val="auto"/>
          <w:sz w:val="30"/>
          <w:szCs w:val="30"/>
        </w:rPr>
        <w:t>第一节 开展历史文化研究交流</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_Toc90809355 \h </w:instrText>
      </w:r>
      <w:r>
        <w:rPr>
          <w:rFonts w:eastAsia="仿宋_GB2312"/>
          <w:sz w:val="30"/>
          <w:szCs w:val="30"/>
        </w:rPr>
        <w:fldChar w:fldCharType="separate"/>
      </w:r>
      <w:r>
        <w:rPr>
          <w:rFonts w:eastAsia="仿宋_GB2312"/>
          <w:sz w:val="30"/>
          <w:szCs w:val="30"/>
        </w:rPr>
        <w:t>55</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"_Toc90809356" </w:instrText>
      </w:r>
      <w:r>
        <w:fldChar w:fldCharType="separate"/>
      </w:r>
      <w:r>
        <w:rPr>
          <w:rStyle w:val="12"/>
          <w:rFonts w:eastAsia="仿宋_GB2312"/>
          <w:bCs/>
          <w:color w:val="auto"/>
          <w:sz w:val="30"/>
          <w:szCs w:val="30"/>
        </w:rPr>
        <w:t>第二节 加强文物和非遗传承保护</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_Toc90809356 \h </w:instrText>
      </w:r>
      <w:r>
        <w:rPr>
          <w:rFonts w:eastAsia="仿宋_GB2312"/>
          <w:sz w:val="30"/>
          <w:szCs w:val="30"/>
        </w:rPr>
        <w:fldChar w:fldCharType="separate"/>
      </w:r>
      <w:r>
        <w:rPr>
          <w:rFonts w:eastAsia="仿宋_GB2312"/>
          <w:sz w:val="30"/>
          <w:szCs w:val="30"/>
        </w:rPr>
        <w:t>56</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"_Toc90809357" </w:instrText>
      </w:r>
      <w:r>
        <w:fldChar w:fldCharType="separate"/>
      </w:r>
      <w:r>
        <w:rPr>
          <w:rStyle w:val="12"/>
          <w:rFonts w:eastAsia="仿宋_GB2312"/>
          <w:bCs/>
          <w:color w:val="auto"/>
          <w:sz w:val="30"/>
          <w:szCs w:val="30"/>
        </w:rPr>
        <w:t>第三节 加强医教资源跨区域互动</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_Toc90809357 \h </w:instrText>
      </w:r>
      <w:r>
        <w:rPr>
          <w:rFonts w:eastAsia="仿宋_GB2312"/>
          <w:sz w:val="30"/>
          <w:szCs w:val="30"/>
        </w:rPr>
        <w:fldChar w:fldCharType="separate"/>
      </w:r>
      <w:r>
        <w:rPr>
          <w:rFonts w:eastAsia="仿宋_GB2312"/>
          <w:sz w:val="30"/>
          <w:szCs w:val="30"/>
        </w:rPr>
        <w:t>56</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"_Toc90809358" </w:instrText>
      </w:r>
      <w:r>
        <w:fldChar w:fldCharType="separate"/>
      </w:r>
      <w:r>
        <w:rPr>
          <w:rStyle w:val="12"/>
          <w:rFonts w:eastAsia="仿宋_GB2312"/>
          <w:bCs/>
          <w:color w:val="auto"/>
          <w:sz w:val="30"/>
          <w:szCs w:val="30"/>
        </w:rPr>
        <w:t>第四节 加强就业政策和服务衔接</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_Toc90809358 \h </w:instrText>
      </w:r>
      <w:r>
        <w:rPr>
          <w:rFonts w:eastAsia="仿宋_GB2312"/>
          <w:sz w:val="30"/>
          <w:szCs w:val="30"/>
        </w:rPr>
        <w:fldChar w:fldCharType="separate"/>
      </w:r>
      <w:r>
        <w:rPr>
          <w:rFonts w:eastAsia="仿宋_GB2312"/>
          <w:sz w:val="30"/>
          <w:szCs w:val="30"/>
        </w:rPr>
        <w:t>57</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"_Toc90809359" </w:instrText>
      </w:r>
      <w:r>
        <w:fldChar w:fldCharType="separate"/>
      </w:r>
      <w:r>
        <w:rPr>
          <w:rStyle w:val="12"/>
          <w:rFonts w:eastAsia="仿宋_GB2312"/>
          <w:bCs/>
          <w:color w:val="auto"/>
          <w:sz w:val="30"/>
          <w:szCs w:val="30"/>
        </w:rPr>
        <w:t>第五节 推动公共服务标准一体化</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_Toc90809359 \h </w:instrText>
      </w:r>
      <w:r>
        <w:rPr>
          <w:rFonts w:eastAsia="仿宋_GB2312"/>
          <w:sz w:val="30"/>
          <w:szCs w:val="30"/>
        </w:rPr>
        <w:fldChar w:fldCharType="separate"/>
      </w:r>
      <w:r>
        <w:rPr>
          <w:rFonts w:eastAsia="仿宋_GB2312"/>
          <w:sz w:val="30"/>
          <w:szCs w:val="30"/>
        </w:rPr>
        <w:t>57</w:t>
      </w:r>
      <w:r>
        <w:rPr>
          <w:rFonts w:eastAsia="仿宋_GB2312"/>
          <w:sz w:val="30"/>
          <w:szCs w:val="30"/>
        </w:rPr>
        <w:fldChar w:fldCharType="end"/>
      </w:r>
      <w:r>
        <w:rPr>
          <w:rFonts w:eastAsia="仿宋_GB2312"/>
          <w:sz w:val="30"/>
          <w:szCs w:val="30"/>
        </w:rPr>
        <w:fldChar w:fldCharType="end"/>
      </w:r>
    </w:p>
    <w:p>
      <w:pPr>
        <w:pStyle w:val="7"/>
        <w:rPr>
          <w:rStyle w:val="12"/>
          <w:color w:val="auto"/>
        </w:rPr>
      </w:pPr>
      <w:r>
        <w:fldChar w:fldCharType="begin"/>
      </w:r>
      <w:r>
        <w:instrText xml:space="preserve"> HYPERLINK \l "_Toc90809360" </w:instrText>
      </w:r>
      <w:r>
        <w:fldChar w:fldCharType="separate"/>
      </w:r>
      <w:r>
        <w:rPr>
          <w:rStyle w:val="12"/>
          <w:color w:val="auto"/>
        </w:rPr>
        <w:t>第九章 保障措施</w:t>
      </w:r>
      <w:r>
        <w:rPr>
          <w:rStyle w:val="12"/>
          <w:color w:val="auto"/>
        </w:rPr>
        <w:tab/>
      </w:r>
      <w:r>
        <w:rPr>
          <w:rStyle w:val="12"/>
          <w:color w:val="auto"/>
        </w:rPr>
        <w:fldChar w:fldCharType="begin"/>
      </w:r>
      <w:r>
        <w:rPr>
          <w:rStyle w:val="12"/>
          <w:color w:val="auto"/>
        </w:rPr>
        <w:instrText xml:space="preserve"> PAGEREF _Toc90809360 \h </w:instrText>
      </w:r>
      <w:r>
        <w:rPr>
          <w:rStyle w:val="12"/>
          <w:color w:val="auto"/>
        </w:rPr>
        <w:fldChar w:fldCharType="separate"/>
      </w:r>
      <w:r>
        <w:rPr>
          <w:rStyle w:val="12"/>
          <w:color w:val="auto"/>
        </w:rPr>
        <w:t>60</w:t>
      </w:r>
      <w:r>
        <w:rPr>
          <w:rStyle w:val="12"/>
          <w:color w:val="auto"/>
        </w:rPr>
        <w:fldChar w:fldCharType="end"/>
      </w:r>
      <w:r>
        <w:rPr>
          <w:rStyle w:val="12"/>
          <w:color w:val="auto"/>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"_Toc90809361" </w:instrText>
      </w:r>
      <w:r>
        <w:fldChar w:fldCharType="separate"/>
      </w:r>
      <w:r>
        <w:rPr>
          <w:rStyle w:val="12"/>
          <w:rFonts w:eastAsia="仿宋_GB2312"/>
          <w:bCs/>
          <w:color w:val="auto"/>
          <w:sz w:val="30"/>
          <w:szCs w:val="30"/>
        </w:rPr>
        <w:t>第一节 加强组织领导建设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_Toc90809361 \h </w:instrText>
      </w:r>
      <w:r>
        <w:rPr>
          <w:rFonts w:eastAsia="仿宋_GB2312"/>
          <w:sz w:val="30"/>
          <w:szCs w:val="30"/>
        </w:rPr>
        <w:fldChar w:fldCharType="separate"/>
      </w:r>
      <w:r>
        <w:rPr>
          <w:rFonts w:eastAsia="仿宋_GB2312"/>
          <w:sz w:val="30"/>
          <w:szCs w:val="30"/>
        </w:rPr>
        <w:t>60</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"_Toc90809362" </w:instrText>
      </w:r>
      <w:r>
        <w:fldChar w:fldCharType="separate"/>
      </w:r>
      <w:r>
        <w:rPr>
          <w:rStyle w:val="12"/>
          <w:rFonts w:eastAsia="仿宋_GB2312"/>
          <w:bCs/>
          <w:color w:val="auto"/>
          <w:sz w:val="30"/>
          <w:szCs w:val="30"/>
        </w:rPr>
        <w:t>第二节 建立区域沟通机制</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_Toc90809362 \h </w:instrText>
      </w:r>
      <w:r>
        <w:rPr>
          <w:rFonts w:eastAsia="仿宋_GB2312"/>
          <w:sz w:val="30"/>
          <w:szCs w:val="30"/>
        </w:rPr>
        <w:fldChar w:fldCharType="separate"/>
      </w:r>
      <w:r>
        <w:rPr>
          <w:rFonts w:eastAsia="仿宋_GB2312"/>
          <w:sz w:val="30"/>
          <w:szCs w:val="30"/>
        </w:rPr>
        <w:t>60</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"_Toc90809363" </w:instrText>
      </w:r>
      <w:r>
        <w:fldChar w:fldCharType="separate"/>
      </w:r>
      <w:r>
        <w:rPr>
          <w:rStyle w:val="12"/>
          <w:rFonts w:eastAsia="仿宋_GB2312"/>
          <w:bCs/>
          <w:color w:val="auto"/>
          <w:sz w:val="30"/>
          <w:szCs w:val="30"/>
        </w:rPr>
        <w:t>第三节 强化工程项目支撑</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_Toc90809363 \h </w:instrText>
      </w:r>
      <w:r>
        <w:rPr>
          <w:rFonts w:eastAsia="仿宋_GB2312"/>
          <w:sz w:val="30"/>
          <w:szCs w:val="30"/>
        </w:rPr>
        <w:fldChar w:fldCharType="separate"/>
      </w:r>
      <w:r>
        <w:rPr>
          <w:rFonts w:eastAsia="仿宋_GB2312"/>
          <w:sz w:val="30"/>
          <w:szCs w:val="30"/>
        </w:rPr>
        <w:t>61</w:t>
      </w:r>
      <w:r>
        <w:rPr>
          <w:rFonts w:eastAsia="仿宋_GB2312"/>
          <w:sz w:val="30"/>
          <w:szCs w:val="30"/>
        </w:rPr>
        <w:fldChar w:fldCharType="end"/>
      </w:r>
      <w:r>
        <w:rPr>
          <w:rFonts w:eastAsia="仿宋_GB2312"/>
          <w:sz w:val="30"/>
          <w:szCs w:val="30"/>
        </w:rPr>
        <w:fldChar w:fldCharType="end"/>
      </w:r>
    </w:p>
    <w:p>
      <w:pPr>
        <w:pStyle w:val="8"/>
        <w:tabs>
          <w:tab w:val="right" w:leader="dot" w:pos="8777"/>
        </w:tabs>
        <w:spacing w:line="500" w:lineRule="exact"/>
        <w:rPr>
          <w:rFonts w:eastAsia="仿宋_GB2312"/>
          <w:sz w:val="30"/>
          <w:szCs w:val="30"/>
        </w:rPr>
      </w:pPr>
      <w:r>
        <w:fldChar w:fldCharType="begin"/>
      </w:r>
      <w:r>
        <w:instrText xml:space="preserve"> HYPERLINK \l "_Toc90809364" </w:instrText>
      </w:r>
      <w:r>
        <w:fldChar w:fldCharType="separate"/>
      </w:r>
      <w:r>
        <w:rPr>
          <w:rStyle w:val="12"/>
          <w:rFonts w:eastAsia="仿宋_GB2312"/>
          <w:bCs/>
          <w:color w:val="auto"/>
          <w:sz w:val="30"/>
          <w:szCs w:val="30"/>
        </w:rPr>
        <w:t>第四节 营造双向互动氛围</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_Toc90809364 \h </w:instrText>
      </w:r>
      <w:r>
        <w:rPr>
          <w:rFonts w:eastAsia="仿宋_GB2312"/>
          <w:sz w:val="30"/>
          <w:szCs w:val="30"/>
        </w:rPr>
        <w:fldChar w:fldCharType="separate"/>
      </w:r>
      <w:r>
        <w:rPr>
          <w:rFonts w:eastAsia="仿宋_GB2312"/>
          <w:sz w:val="30"/>
          <w:szCs w:val="30"/>
        </w:rPr>
        <w:t>62</w:t>
      </w:r>
      <w:r>
        <w:rPr>
          <w:rFonts w:eastAsia="仿宋_GB2312"/>
          <w:sz w:val="30"/>
          <w:szCs w:val="30"/>
        </w:rPr>
        <w:fldChar w:fldCharType="end"/>
      </w:r>
      <w:r>
        <w:rPr>
          <w:rFonts w:eastAsia="仿宋_GB2312"/>
          <w:sz w:val="30"/>
          <w:szCs w:val="30"/>
        </w:rPr>
        <w:fldChar w:fldCharType="end"/>
      </w:r>
    </w:p>
    <w:p>
      <w:pPr>
        <w:widowControl/>
        <w:spacing w:line="500" w:lineRule="exact"/>
        <w:rPr>
          <w:rFonts w:eastAsia="黑体"/>
          <w:bCs/>
          <w:sz w:val="32"/>
          <w:szCs w:val="32"/>
        </w:rPr>
        <w:sectPr>
          <w:pgSz w:w="11906" w:h="16838"/>
          <w:pgMar w:top="2268" w:right="1418" w:bottom="1701" w:left="1701" w:header="851" w:footer="992" w:gutter="0"/>
          <w:pgNumType w:start="1"/>
          <w:cols w:space="425" w:num="1"/>
          <w:docGrid w:type="lines" w:linePitch="435" w:charSpace="0"/>
        </w:sectPr>
      </w:pPr>
      <w:r>
        <w:rPr>
          <w:rFonts w:eastAsia="仿宋_GB2312"/>
          <w:bCs/>
          <w:sz w:val="30"/>
          <w:szCs w:val="30"/>
        </w:rPr>
        <w:fldChar w:fldCharType="end"/>
      </w:r>
      <w:r>
        <w:rPr>
          <w:rFonts w:eastAsia="黑体"/>
          <w:bCs/>
          <w:sz w:val="32"/>
          <w:szCs w:val="32"/>
        </w:rPr>
        <w:br w:type="page"/>
      </w:r>
    </w:p>
    <w:p>
      <w:pPr>
        <w:jc w:val="center"/>
        <w:outlineLvl w:val="0"/>
        <w:rPr>
          <w:rFonts w:eastAsia="黑体"/>
          <w:bCs/>
          <w:sz w:val="32"/>
          <w:szCs w:val="32"/>
        </w:rPr>
      </w:pPr>
      <w:bookmarkStart w:id="3" w:name="_Toc90809320"/>
      <w:r>
        <w:rPr>
          <w:rFonts w:eastAsia="黑体"/>
          <w:bCs/>
          <w:sz w:val="32"/>
          <w:szCs w:val="32"/>
        </w:rPr>
        <w:t>导   言</w:t>
      </w:r>
      <w:bookmarkEnd w:id="2"/>
      <w:bookmarkEnd w:id="3"/>
    </w:p>
    <w:p>
      <w:pPr>
        <w:spacing w:line="600" w:lineRule="exact"/>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中原城市群是国家层面的大战略，是继珠三角、长三角、京津冀等城市群之后国务院批复的第七个国家级城市群。中原城市群致力于促进中部崛起、辐射带动中西部地区发展的核心增长极，承担与长江中游城市群南北呼应、共同支撑中部崛起的重任。</w:t>
      </w:r>
    </w:p>
    <w:p>
      <w:pPr>
        <w:spacing w:line="600" w:lineRule="exact"/>
        <w:ind w:firstLine="640" w:firstLineChars="200"/>
        <w:rPr>
          <w:rFonts w:eastAsia="仿宋_GB2312"/>
          <w:bCs/>
          <w:sz w:val="32"/>
          <w:szCs w:val="32"/>
        </w:rPr>
      </w:pPr>
      <w:r>
        <w:rPr>
          <w:rFonts w:eastAsia="仿宋_GB2312"/>
          <w:sz w:val="32"/>
          <w:szCs w:val="32"/>
        </w:rPr>
        <w:t>山西省的晋城市、长治市、运城市被纳入了中原城市群规划范围，晋城市为核心发展区城市，联动辐射长治市、运城市。阳城处于晋城市面向中原地区的前沿位置，与河南省济源市接壤，是三晋大地通往中原地区的东南门户。九十年代开始，阳济公路搭建起阳城与中原连接的交通干道。2020年，阳济高速的通车，又搭建了一条阳城融入中原的大通道，将阳城拉到了有700万人口的洛阳城下。阳城在洛阳建设了“阳城会客厅”，将开放的窗口前置到了洛阳，融入中原城市群就有了基础通道和战略支点。阳城要</w:t>
      </w:r>
      <w:r>
        <w:rPr>
          <w:rFonts w:hint="eastAsia" w:eastAsia="仿宋_GB2312"/>
          <w:bCs/>
          <w:sz w:val="32"/>
          <w:szCs w:val="32"/>
        </w:rPr>
        <w:t>立足新发展阶段、贯彻新发展理念、紧抓构建新发展格局机遇</w:t>
      </w:r>
      <w:r>
        <w:rPr>
          <w:rFonts w:eastAsia="仿宋_GB2312"/>
          <w:bCs/>
          <w:sz w:val="32"/>
          <w:szCs w:val="32"/>
        </w:rPr>
        <w:t>，</w:t>
      </w:r>
      <w:r>
        <w:rPr>
          <w:rFonts w:hint="eastAsia" w:eastAsia="仿宋_GB2312"/>
          <w:bCs/>
          <w:sz w:val="32"/>
          <w:szCs w:val="32"/>
        </w:rPr>
        <w:t>依托阳城区位特点、资源禀赋和产业优势，服从国家促进区域协调发展的大局，实行更加积极的开放合作战略，创造更为优良的政策环境</w:t>
      </w:r>
      <w:r>
        <w:rPr>
          <w:rFonts w:eastAsia="仿宋_GB2312"/>
          <w:bCs/>
          <w:sz w:val="32"/>
          <w:szCs w:val="32"/>
        </w:rPr>
        <w:t>，以“俯身谋合作，携手促发展”的姿态，</w:t>
      </w:r>
      <w:r>
        <w:rPr>
          <w:rFonts w:hint="eastAsia" w:eastAsia="仿宋_GB2312"/>
          <w:bCs/>
          <w:sz w:val="32"/>
          <w:szCs w:val="32"/>
        </w:rPr>
        <w:t>主动融入中原城市群发展，呼应太原经济圈建设，强化优势互补、机制创新开放互动，坚持以开放带开发、以开发促开放的发展思路，携手中原城市群其他核心城市加速融入国内国际双循环，</w:t>
      </w:r>
      <w:r>
        <w:rPr>
          <w:rFonts w:eastAsia="仿宋_GB2312"/>
          <w:bCs/>
          <w:sz w:val="32"/>
          <w:szCs w:val="32"/>
        </w:rPr>
        <w:t>不断增强产业发展新动力，强化开放发展新优势，拓展经济发展新空间，努力成为</w:t>
      </w:r>
      <w:r>
        <w:rPr>
          <w:rFonts w:hint="eastAsia" w:eastAsia="仿宋_GB2312"/>
          <w:bCs/>
          <w:sz w:val="32"/>
          <w:szCs w:val="32"/>
        </w:rPr>
        <w:t>新时期对外开放新高地的桥头堡</w:t>
      </w:r>
      <w:r>
        <w:rPr>
          <w:rFonts w:eastAsia="仿宋_GB2312"/>
          <w:bCs/>
          <w:sz w:val="32"/>
          <w:szCs w:val="32"/>
        </w:rPr>
        <w:t>的前哨阵地</w:t>
      </w:r>
      <w:r>
        <w:rPr>
          <w:rFonts w:hint="eastAsia" w:eastAsia="仿宋_GB2312"/>
          <w:bCs/>
          <w:sz w:val="32"/>
          <w:szCs w:val="32"/>
        </w:rPr>
        <w:t>，为全方位推动阳城高质量发展提供强大支撑</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为在“十四五”期间科学有序地推进阳城融入中原城市群，实现一体化发展，根据《中原城市群发展规划》《中原城市群实施方案》《山西省贯彻落实中原城市群发展规划实施方案》《河南省主体功能区规划》《郑州市城市总体规划（2018—2035年）》《关于以开放为引领加快建设中原城市群副中心城市的行动方案》《洛阳都市圈发展规划（2020—2035）》等文件文本，编制本规划。规划基准期为2020年，规划期为2021—2025年。</w:t>
      </w:r>
    </w:p>
    <w:p>
      <w:pPr>
        <w:widowControl/>
        <w:spacing w:line="600" w:lineRule="exact"/>
        <w:jc w:val="center"/>
        <w:outlineLvl w:val="0"/>
        <w:rPr>
          <w:rFonts w:eastAsia="方正小标宋简体"/>
          <w:bCs/>
          <w:sz w:val="32"/>
          <w:szCs w:val="32"/>
        </w:rPr>
      </w:pPr>
      <w:r>
        <w:rPr>
          <w:rFonts w:eastAsia="黑体"/>
          <w:bCs/>
          <w:sz w:val="32"/>
          <w:szCs w:val="32"/>
        </w:rPr>
        <w:br w:type="page"/>
      </w:r>
      <w:bookmarkStart w:id="4" w:name="_Toc90809321"/>
      <w:r>
        <w:rPr>
          <w:rFonts w:eastAsia="方正小标宋简体"/>
          <w:bCs/>
          <w:sz w:val="32"/>
          <w:szCs w:val="32"/>
        </w:rPr>
        <w:t>第一章 发展环境和发展基础</w:t>
      </w:r>
      <w:bookmarkEnd w:id="4"/>
    </w:p>
    <w:p>
      <w:pPr>
        <w:widowControl/>
        <w:spacing w:line="600" w:lineRule="exact"/>
        <w:jc w:val="center"/>
        <w:rPr>
          <w:rFonts w:eastAsia="黑体"/>
          <w:bCs/>
          <w:sz w:val="32"/>
          <w:szCs w:val="32"/>
        </w:rPr>
      </w:pPr>
    </w:p>
    <w:p>
      <w:pPr>
        <w:widowControl/>
        <w:spacing w:line="600" w:lineRule="exact"/>
        <w:jc w:val="center"/>
        <w:outlineLvl w:val="1"/>
        <w:rPr>
          <w:rFonts w:eastAsia="黑体"/>
          <w:sz w:val="32"/>
          <w:szCs w:val="32"/>
        </w:rPr>
      </w:pPr>
      <w:bookmarkStart w:id="5" w:name="_Toc90809322"/>
      <w:r>
        <w:rPr>
          <w:rFonts w:eastAsia="黑体"/>
          <w:sz w:val="32"/>
          <w:szCs w:val="32"/>
        </w:rPr>
        <w:t>第一节 宏观环境</w:t>
      </w:r>
      <w:bookmarkEnd w:id="5"/>
    </w:p>
    <w:p>
      <w:pPr>
        <w:widowControl/>
        <w:spacing w:line="600" w:lineRule="exact"/>
        <w:jc w:val="center"/>
        <w:rPr>
          <w:rFonts w:eastAsia="楷体_GB2312"/>
          <w:b/>
          <w:sz w:val="32"/>
          <w:szCs w:val="32"/>
        </w:rPr>
      </w:pPr>
    </w:p>
    <w:p>
      <w:pPr>
        <w:widowControl/>
        <w:spacing w:line="600" w:lineRule="exact"/>
        <w:ind w:firstLine="640" w:firstLineChars="200"/>
        <w:rPr>
          <w:rFonts w:eastAsia="仿宋_GB2312"/>
          <w:sz w:val="32"/>
          <w:szCs w:val="32"/>
        </w:rPr>
      </w:pPr>
      <w:r>
        <w:rPr>
          <w:rFonts w:eastAsia="仿宋_GB2312"/>
          <w:sz w:val="32"/>
          <w:szCs w:val="32"/>
        </w:rPr>
        <w:t>“十四五”时期，国际形势复杂多变，国内经济发展的空间结构面临新的调整，区域协调发展进入纵深推进的阶段。阳城要牢牢把握当前区域一体化加快发展、内陆开放高地加快建设的机遇，在深化区域合作和对外开放中不断开创工作新局面，努力迈上高质量发展新台阶。</w:t>
      </w:r>
    </w:p>
    <w:p>
      <w:pPr>
        <w:widowControl/>
        <w:spacing w:line="600" w:lineRule="exact"/>
        <w:ind w:firstLine="643" w:firstLineChars="200"/>
        <w:rPr>
          <w:rFonts w:eastAsia="仿宋_GB2312"/>
          <w:sz w:val="32"/>
          <w:szCs w:val="32"/>
        </w:rPr>
      </w:pPr>
      <w:r>
        <w:rPr>
          <w:rFonts w:eastAsia="楷体_GB2312"/>
          <w:b/>
          <w:sz w:val="32"/>
          <w:szCs w:val="32"/>
        </w:rPr>
        <w:t>从国际环境来看</w:t>
      </w:r>
      <w:r>
        <w:rPr>
          <w:rFonts w:eastAsia="仿宋_GB2312"/>
          <w:b/>
          <w:sz w:val="32"/>
          <w:szCs w:val="32"/>
        </w:rPr>
        <w:t>，</w:t>
      </w:r>
      <w:r>
        <w:rPr>
          <w:rFonts w:hint="eastAsia" w:eastAsia="仿宋_GB2312"/>
          <w:sz w:val="32"/>
          <w:szCs w:val="32"/>
        </w:rPr>
        <w:t>“十四五”时期是世界百年未有之大变局深刻演变的关键期，国际环境日趋复杂，不稳定性不确定性明显增强。新冠肺炎疫情影响广泛深远，单边主义、保护主义、民族主义、霸权主义思潮愈发凸显，经济全球化遭遇逆流，世界进入动荡变革期。全球经济深度调整可能冲击和改变我国地缘经济格局，以各类双边、诸边为主的区域性经贸协定和治理机制将一定程度上替代全球经济大循环。迫切要求我们抓住新一轮科技革命和产业变革的先机，发挥大国经济纵深广阔的优势，深化区域合作，畅通国内大循环，同时推动更高水平的对外开放，加快构建以国内大循环为主体，国内国际双循环相互促进的新发展格局</w:t>
      </w:r>
      <w:r>
        <w:rPr>
          <w:rFonts w:eastAsia="仿宋_GB2312"/>
          <w:sz w:val="32"/>
          <w:szCs w:val="32"/>
        </w:rPr>
        <w:t>。</w:t>
      </w:r>
    </w:p>
    <w:p>
      <w:pPr>
        <w:widowControl/>
        <w:spacing w:line="600" w:lineRule="exact"/>
        <w:ind w:firstLine="643" w:firstLineChars="200"/>
        <w:rPr>
          <w:rFonts w:hint="eastAsia" w:eastAsia="仿宋_GB2312"/>
          <w:sz w:val="32"/>
          <w:szCs w:val="32"/>
        </w:rPr>
      </w:pPr>
      <w:r>
        <w:rPr>
          <w:rFonts w:eastAsia="楷体_GB2312"/>
          <w:b/>
          <w:sz w:val="32"/>
          <w:szCs w:val="32"/>
        </w:rPr>
        <w:t>从国内环境来看</w:t>
      </w:r>
      <w:r>
        <w:rPr>
          <w:rFonts w:eastAsia="仿宋_GB2312"/>
          <w:b/>
          <w:sz w:val="32"/>
          <w:szCs w:val="32"/>
        </w:rPr>
        <w:t>，</w:t>
      </w:r>
      <w:r>
        <w:rPr>
          <w:rFonts w:hint="eastAsia" w:eastAsia="仿宋_GB2312"/>
          <w:sz w:val="32"/>
          <w:szCs w:val="32"/>
        </w:rPr>
        <w:t>我国已从高速增长转向高质量发展阶段，科技创新呈现交叉、融合、渗透、扩散的鲜明特征，产业变革加速产业转移和新动能培育，重大改革任务深度推进，开放型经济新体制不断完善，集聚全球高端要素的能力不断增强。我国已形成全球最大最有潜力的市场，拥有全球最完整、规模最大的工业体系和完善的配套能力，具备实现内部大循环、促进内外双循环的诸多条件。当前，我国城市群集聚优势、辐射效应逐步显现，城市群正在成为承载发展要素的主要空间形式，未来将以城市群为主体打造高质量发展的动力源，形成全国高质量发展的多极支撑。新一轮中部地区崛起规划、黄河流域生态保护和高质量发展等国家战略为中原城市群转型发展提供了前所未有的发展机遇，中原城市群将成为中部地区新型城镇化、新型工业化的主战场。中原城市群内部各城市要勇于突破体制机制障碍，围绕技术前沿领域、产业发展需要、城镇化发展新趋势等开展更为深入的创新合作。此外，“十四五”我国内陆地区对外开放的步伐将进一步加快，内陆地区有望从开放末梢走向前沿，形成新的对外开放高地，将为中原城市群的发展和开放带来重要机遇。</w:t>
      </w:r>
    </w:p>
    <w:p>
      <w:pPr>
        <w:widowControl/>
        <w:spacing w:line="600" w:lineRule="exact"/>
        <w:ind w:firstLine="643" w:firstLineChars="200"/>
        <w:rPr>
          <w:rFonts w:eastAsia="仿宋_GB2312"/>
          <w:sz w:val="32"/>
          <w:szCs w:val="32"/>
        </w:rPr>
      </w:pPr>
      <w:r>
        <w:rPr>
          <w:rFonts w:eastAsia="楷体_GB2312"/>
          <w:b/>
          <w:sz w:val="32"/>
          <w:szCs w:val="32"/>
        </w:rPr>
        <w:t>从省情、市情来看</w:t>
      </w:r>
      <w:r>
        <w:rPr>
          <w:rFonts w:eastAsia="仿宋_GB2312"/>
          <w:b/>
          <w:sz w:val="32"/>
          <w:szCs w:val="32"/>
        </w:rPr>
        <w:t>，</w:t>
      </w:r>
      <w:r>
        <w:rPr>
          <w:rFonts w:hint="eastAsia" w:eastAsia="仿宋_GB2312"/>
          <w:sz w:val="32"/>
          <w:szCs w:val="32"/>
        </w:rPr>
        <w:t>山西省资源型经济正处于从成熟期到衰退期的演变阶段，未来5-10年是转型发展的窗口期、关键期。全省将积极抢抓新发展格局机遇，深入实施系统性深层次改革，奋力推动全方位高质量发展，奋力实现转型出雏型的重要阶段性战略目标，奋力完成好转型发展</w:t>
      </w:r>
      <w:r>
        <w:rPr>
          <w:rFonts w:hint="eastAsia" w:ascii="宋体" w:hAnsi="宋体" w:cs="宋体"/>
          <w:sz w:val="32"/>
          <w:szCs w:val="32"/>
        </w:rPr>
        <w:t>蹚</w:t>
      </w:r>
      <w:r>
        <w:rPr>
          <w:rFonts w:hint="eastAsia" w:ascii="仿宋_GB2312" w:hAnsi="仿宋_GB2312" w:eastAsia="仿宋_GB2312" w:cs="仿宋_GB2312"/>
          <w:sz w:val="32"/>
          <w:szCs w:val="32"/>
        </w:rPr>
        <w:t>新路的历史使命。在区域合作和开放发展方面，山西将主动融入国家“一带一路”</w:t>
      </w:r>
      <w:r>
        <w:rPr>
          <w:rFonts w:hint="eastAsia" w:ascii="仿宋_GB2312" w:hAnsi="仿宋_GB2312" w:eastAsia="仿宋_GB2312" w:cs="仿宋_GB2312"/>
          <w:sz w:val="32"/>
          <w:szCs w:val="32"/>
          <w:lang w:eastAsia="zh-CN"/>
        </w:rPr>
        <w:t>倡议</w:t>
      </w:r>
      <w:r>
        <w:rPr>
          <w:rFonts w:hint="eastAsia" w:ascii="仿宋_GB2312" w:hAnsi="仿宋_GB2312" w:eastAsia="仿宋_GB2312" w:cs="仿宋_GB2312"/>
          <w:sz w:val="32"/>
          <w:szCs w:val="32"/>
        </w:rPr>
        <w:t>，做大做强太原都市圈，依托中国（山西）自由贸易试验区创建，构建更高水平的对外开放新格局，打造内陆地区对外开放新高地</w:t>
      </w:r>
      <w:r>
        <w:rPr>
          <w:rFonts w:eastAsia="仿宋_GB2312"/>
          <w:sz w:val="32"/>
          <w:szCs w:val="32"/>
        </w:rPr>
        <w:t>。晋城将</w:t>
      </w:r>
      <w:r>
        <w:rPr>
          <w:rFonts w:hint="eastAsia" w:eastAsia="仿宋_GB2312"/>
          <w:sz w:val="32"/>
          <w:szCs w:val="32"/>
        </w:rPr>
        <w:t>坚持“山西大发展、晋城要先行”，以高质量转型发展为主题，以供给侧结构性改革为主线，以国家资源型经济转型综合配套改革试验区建设为统领，</w:t>
      </w:r>
      <w:r>
        <w:rPr>
          <w:rFonts w:hint="eastAsia" w:ascii="仿宋_GB2312" w:hAnsi="仿宋_GB2312" w:eastAsia="仿宋_GB2312" w:cs="仿宋_GB2312"/>
          <w:sz w:val="32"/>
          <w:szCs w:val="32"/>
        </w:rPr>
        <w:t>主动对接太原都市圈，深度融入中原城市群，建设对外开放新高地的桥头堡，</w:t>
      </w:r>
      <w:r>
        <w:rPr>
          <w:rFonts w:hint="eastAsia" w:eastAsia="仿宋_GB2312"/>
          <w:sz w:val="32"/>
          <w:szCs w:val="32"/>
        </w:rPr>
        <w:t>努力实现全方位高质量发展</w:t>
      </w:r>
      <w:r>
        <w:rPr>
          <w:rFonts w:hint="eastAsia" w:ascii="仿宋_GB2312" w:hAnsi="仿宋_GB2312" w:eastAsia="仿宋_GB2312" w:cs="仿宋_GB2312"/>
          <w:sz w:val="32"/>
          <w:szCs w:val="32"/>
        </w:rPr>
        <w:t>建设共同富裕新晋城</w:t>
      </w:r>
      <w:r>
        <w:rPr>
          <w:rFonts w:eastAsia="仿宋_GB2312"/>
          <w:sz w:val="32"/>
          <w:szCs w:val="32"/>
        </w:rPr>
        <w:t>。</w:t>
      </w:r>
    </w:p>
    <w:p>
      <w:pPr>
        <w:widowControl/>
        <w:spacing w:line="600" w:lineRule="exact"/>
        <w:ind w:firstLine="643" w:firstLineChars="200"/>
        <w:rPr>
          <w:rFonts w:eastAsia="仿宋_GB2312"/>
          <w:sz w:val="32"/>
          <w:szCs w:val="32"/>
        </w:rPr>
      </w:pPr>
      <w:r>
        <w:rPr>
          <w:rFonts w:eastAsia="楷体_GB2312"/>
          <w:b/>
          <w:sz w:val="32"/>
          <w:szCs w:val="32"/>
        </w:rPr>
        <w:t>从阳城县情来看</w:t>
      </w:r>
      <w:r>
        <w:rPr>
          <w:rFonts w:eastAsia="仿宋_GB2312"/>
          <w:b/>
          <w:sz w:val="32"/>
          <w:szCs w:val="32"/>
        </w:rPr>
        <w:t>，</w:t>
      </w:r>
      <w:r>
        <w:rPr>
          <w:rFonts w:eastAsia="仿宋_GB2312"/>
          <w:sz w:val="32"/>
          <w:szCs w:val="32"/>
        </w:rPr>
        <w:t>阳城正处于全方位推动高质量发展的关键时期，也</w:t>
      </w:r>
      <w:r>
        <w:rPr>
          <w:rFonts w:hint="eastAsia" w:eastAsia="仿宋_GB2312"/>
          <w:sz w:val="32"/>
          <w:szCs w:val="32"/>
        </w:rPr>
        <w:t>处于</w:t>
      </w:r>
      <w:r>
        <w:rPr>
          <w:rFonts w:eastAsia="仿宋_GB2312"/>
          <w:sz w:val="32"/>
          <w:szCs w:val="32"/>
        </w:rPr>
        <w:t>转变发展方式、优化经济结构、转换增长动力的攻坚期。新一轮科技革命和产业变革将为阳城经济增长带来新动力。阳城作为中原城市群核心县域，与中原城市群其他地区地缘相近、文脉相融，合作空间广阔，要立足自身区位特点、资源禀赋和产业优势，服从国家促进区域协调发展的大局和省市的安排部署，实行更加积极的开放合作战略，创造更为优良的政策环境，携手中原城市群其他核心城市加速融入国内国际双循环，不断增强产业发展新动力，强化开放发展新优势，拓展经济发展新空间。</w:t>
      </w:r>
    </w:p>
    <w:p>
      <w:pPr>
        <w:widowControl/>
        <w:spacing w:line="600" w:lineRule="exact"/>
        <w:ind w:firstLine="640" w:firstLineChars="200"/>
        <w:rPr>
          <w:rFonts w:eastAsia="仿宋_GB2312"/>
          <w:sz w:val="32"/>
          <w:szCs w:val="32"/>
        </w:rPr>
      </w:pPr>
    </w:p>
    <w:p>
      <w:pPr>
        <w:widowControl/>
        <w:spacing w:line="600" w:lineRule="exact"/>
        <w:jc w:val="center"/>
        <w:outlineLvl w:val="1"/>
        <w:rPr>
          <w:rFonts w:eastAsia="黑体"/>
          <w:sz w:val="32"/>
          <w:szCs w:val="32"/>
        </w:rPr>
      </w:pPr>
      <w:bookmarkStart w:id="6" w:name="_Toc90809323"/>
      <w:r>
        <w:rPr>
          <w:rFonts w:eastAsia="黑体"/>
          <w:sz w:val="32"/>
          <w:szCs w:val="32"/>
        </w:rPr>
        <w:t>第二节 中原城市群发展态势</w:t>
      </w:r>
      <w:bookmarkEnd w:id="6"/>
    </w:p>
    <w:p>
      <w:pPr>
        <w:widowControl/>
        <w:spacing w:line="600" w:lineRule="exact"/>
        <w:ind w:firstLine="640" w:firstLineChars="200"/>
        <w:rPr>
          <w:rFonts w:eastAsia="仿宋_GB2312"/>
          <w:sz w:val="32"/>
          <w:szCs w:val="32"/>
        </w:rPr>
      </w:pPr>
      <w:r>
        <w:rPr>
          <w:rFonts w:eastAsia="仿宋_GB2312"/>
          <w:sz w:val="32"/>
          <w:szCs w:val="32"/>
        </w:rPr>
        <w:t>“十三五”时期，中原城市群综合经济实力持续增强，核心城市发展能级不断提升，主要指标呈现良好发展态势，综合实力达到全国城市群第二梯队前列，成为支撑我国高质量发展的重要增长极和动力源。</w:t>
      </w:r>
    </w:p>
    <w:p>
      <w:pPr>
        <w:widowControl/>
        <w:spacing w:line="600" w:lineRule="exact"/>
        <w:ind w:firstLine="643" w:firstLineChars="200"/>
        <w:rPr>
          <w:rFonts w:eastAsia="仿宋_GB2312"/>
          <w:sz w:val="32"/>
          <w:szCs w:val="32"/>
        </w:rPr>
      </w:pPr>
      <w:r>
        <w:rPr>
          <w:rFonts w:eastAsia="楷体_GB2312"/>
          <w:b/>
          <w:sz w:val="32"/>
          <w:szCs w:val="32"/>
        </w:rPr>
        <w:t>从发展优势来看</w:t>
      </w:r>
      <w:r>
        <w:rPr>
          <w:rFonts w:eastAsia="仿宋_GB2312"/>
          <w:b/>
          <w:sz w:val="32"/>
          <w:szCs w:val="32"/>
        </w:rPr>
        <w:t>，</w:t>
      </w:r>
      <w:r>
        <w:rPr>
          <w:rFonts w:eastAsia="仿宋_GB2312"/>
          <w:sz w:val="32"/>
          <w:szCs w:val="32"/>
        </w:rPr>
        <w:t>中原城市群正处于提质升级、加快崛起的发展阶段。2010-20</w:t>
      </w:r>
      <w:r>
        <w:rPr>
          <w:rFonts w:hint="eastAsia" w:eastAsia="仿宋_GB2312"/>
          <w:sz w:val="32"/>
          <w:szCs w:val="32"/>
        </w:rPr>
        <w:t>20</w:t>
      </w:r>
      <w:r>
        <w:rPr>
          <w:rFonts w:eastAsia="仿宋_GB2312"/>
          <w:sz w:val="32"/>
          <w:szCs w:val="32"/>
        </w:rPr>
        <w:t>年，地区生产总值占全国经济总量比重从6.06%提高到</w:t>
      </w:r>
      <w:r>
        <w:rPr>
          <w:rFonts w:hint="eastAsia" w:eastAsia="仿宋_GB2312"/>
          <w:sz w:val="32"/>
          <w:szCs w:val="32"/>
        </w:rPr>
        <w:t>8</w:t>
      </w:r>
      <w:r>
        <w:rPr>
          <w:rFonts w:eastAsia="仿宋_GB2312"/>
          <w:sz w:val="32"/>
          <w:szCs w:val="32"/>
        </w:rPr>
        <w:t>%，经济总量达到81266亿元，常住人口增长</w:t>
      </w:r>
      <w:r>
        <w:rPr>
          <w:rFonts w:hint="eastAsia" w:eastAsia="仿宋_GB2312"/>
          <w:sz w:val="32"/>
          <w:szCs w:val="32"/>
        </w:rPr>
        <w:t>569</w:t>
      </w:r>
      <w:r>
        <w:rPr>
          <w:rFonts w:eastAsia="仿宋_GB2312"/>
          <w:sz w:val="32"/>
          <w:szCs w:val="32"/>
        </w:rPr>
        <w:t>万人。</w:t>
      </w:r>
      <w:r>
        <w:rPr>
          <w:rFonts w:hint="eastAsia" w:eastAsia="仿宋_GB2312"/>
          <w:sz w:val="32"/>
          <w:szCs w:val="32"/>
        </w:rPr>
        <w:t>城市群区位条件优越，立体综合交通网络不断完善，产业体系完备，装备制造、智能终端、有色金属、食品等产业集群综合优势不断强化，新兴产业和高技术制造业比例持续提升，科技创新能力明显增强，劳动人口素质不断提升，对经济、产业、人口的集聚能力大幅提升，区域协调和一体化程度提高，具备在高起点上加快发展的优势和机遇。国家积极推进共建“一带一路”高质量发展，实施促进中部地区崛起战略、推动黄河流域生态保护和高质量发展，以城市群为主体形态深入推进新型城镇化建设，为中原城市群深化城际合作、实现协同发展、增强整体实力和综合竞争力提供重大机遇，为中原城市群提升开发开放水平、建设内陆开放高地提供良好环境</w:t>
      </w:r>
      <w:r>
        <w:rPr>
          <w:rFonts w:eastAsia="仿宋_GB2312"/>
          <w:sz w:val="32"/>
          <w:szCs w:val="32"/>
        </w:rPr>
        <w:t>。</w:t>
      </w:r>
    </w:p>
    <w:p>
      <w:pPr>
        <w:widowControl/>
        <w:spacing w:line="600" w:lineRule="exact"/>
        <w:ind w:firstLine="643" w:firstLineChars="200"/>
        <w:rPr>
          <w:rFonts w:eastAsia="仿宋_GB2312"/>
          <w:sz w:val="32"/>
          <w:szCs w:val="32"/>
        </w:rPr>
      </w:pPr>
      <w:r>
        <w:rPr>
          <w:rFonts w:eastAsia="楷体_GB2312"/>
          <w:b/>
          <w:sz w:val="32"/>
          <w:szCs w:val="32"/>
        </w:rPr>
        <w:t>从发展差距来看</w:t>
      </w:r>
      <w:r>
        <w:rPr>
          <w:rFonts w:eastAsia="仿宋_GB2312"/>
          <w:b/>
          <w:sz w:val="32"/>
          <w:szCs w:val="32"/>
        </w:rPr>
        <w:t>，</w:t>
      </w:r>
      <w:r>
        <w:rPr>
          <w:rFonts w:hint="eastAsia" w:eastAsia="仿宋_GB2312"/>
          <w:sz w:val="32"/>
          <w:szCs w:val="32"/>
        </w:rPr>
        <w:t>中原城市群综合实力与国内发展相对成熟的城市群相比，还存在较大差距。地区生产总值占全国经济总量的比重与长三角相差10个百分点以上，与珠三角、京津冀、山东半岛以及成渝城市群等相差2-3个百分点以上。城镇化率不到50%，与京津冀、长三角等城市群的差距在10个百分点以上。“十三五”期间，虽然城市群人口规模明显扩大，但是在全国总人口中的占比却有所下降。中心城市辐射带动能力不强，多核结构的城市体系尚未形成。郑州作为中原城市群的核心城市，与本省的洛阳、开封、新乡、许昌、焦作等城市在产业发展和资源共享方面加强了联动，但与其他城市尚未形成较强的协同联动。交通联系网络有待加强，通车密度及接驳县市等与发达地区相比差距较大。科技教育发展不均衡，城市职能定位同化，产业同构、同质化现象突出，跨区共建、利益共享的体制机制还未建立，影响和制约着城市群的协调发展。开放发展水平偏低，2019年，进出口贸易总额占全国对外贸易额的比重仅为2.5%左右，外贸外资发展低于全国平均水平。基本公共服务标准落差较大，公共交通、市场、金融等领域跨区域服务还存在诸多障碍。城市群协同合作水平有待提升，一体化发展机制仍需完善</w:t>
      </w:r>
      <w:r>
        <w:rPr>
          <w:rFonts w:eastAsia="仿宋_GB2312"/>
          <w:sz w:val="32"/>
          <w:szCs w:val="32"/>
        </w:rPr>
        <w:t>。</w:t>
      </w:r>
    </w:p>
    <w:p>
      <w:pPr>
        <w:widowControl/>
        <w:spacing w:line="600" w:lineRule="exact"/>
        <w:ind w:firstLine="640" w:firstLineChars="200"/>
        <w:rPr>
          <w:rFonts w:eastAsia="仿宋_GB2312"/>
          <w:sz w:val="32"/>
          <w:szCs w:val="32"/>
        </w:rPr>
      </w:pPr>
    </w:p>
    <w:p>
      <w:pPr>
        <w:widowControl/>
        <w:spacing w:line="600" w:lineRule="exact"/>
        <w:jc w:val="center"/>
        <w:outlineLvl w:val="1"/>
        <w:rPr>
          <w:rFonts w:eastAsia="黑体"/>
          <w:sz w:val="32"/>
          <w:szCs w:val="32"/>
        </w:rPr>
      </w:pPr>
      <w:bookmarkStart w:id="7" w:name="_Toc90809324"/>
      <w:r>
        <w:rPr>
          <w:rFonts w:eastAsia="黑体"/>
          <w:sz w:val="32"/>
          <w:szCs w:val="32"/>
        </w:rPr>
        <w:t>第三节 阳城县发展基础和融入现状</w:t>
      </w:r>
      <w:bookmarkEnd w:id="7"/>
    </w:p>
    <w:p>
      <w:pPr>
        <w:widowControl/>
        <w:spacing w:line="600" w:lineRule="exact"/>
        <w:jc w:val="center"/>
        <w:rPr>
          <w:rFonts w:eastAsia="黑体"/>
          <w:sz w:val="32"/>
          <w:szCs w:val="32"/>
        </w:rPr>
      </w:pPr>
    </w:p>
    <w:p>
      <w:pPr>
        <w:widowControl/>
        <w:spacing w:line="600" w:lineRule="exact"/>
        <w:ind w:firstLine="640" w:firstLineChars="200"/>
        <w:rPr>
          <w:rFonts w:eastAsia="仿宋_GB2312"/>
          <w:sz w:val="32"/>
          <w:szCs w:val="32"/>
        </w:rPr>
      </w:pPr>
      <w:r>
        <w:rPr>
          <w:rFonts w:eastAsia="仿宋_GB2312"/>
          <w:sz w:val="32"/>
          <w:szCs w:val="32"/>
        </w:rPr>
        <w:t>“十三五”以来，阳城县坚持以习近平新时代中国特色社会主义思想为指引，按照“四个全面”战略布局，认真落实省委“四为四高两同步”总体思路和要求，坚定贯彻市委“五个三”战略部署和安排，围绕“4+1”高质量发展路径，持续实施“田园城市、美丽乡村、产城融合、城乡一体”发展战略，坚决打好“三大攻坚战”，扎实做好工业转型、城市提升、乡村振兴、全域旅游四篇大文章，努力建设教育名城、健康阳城、书香阳城、便捷阳城、平安阳城，圆满完成了“十三五”规划确定的目标任务，全面建成小康社会取得决定性成就。</w:t>
      </w:r>
    </w:p>
    <w:p>
      <w:pPr>
        <w:widowControl/>
        <w:spacing w:line="600" w:lineRule="exact"/>
        <w:ind w:firstLine="643" w:firstLineChars="200"/>
        <w:rPr>
          <w:rFonts w:eastAsia="仿宋_GB2312"/>
          <w:sz w:val="32"/>
          <w:szCs w:val="32"/>
        </w:rPr>
      </w:pPr>
      <w:r>
        <w:rPr>
          <w:rFonts w:eastAsia="楷体_GB2312"/>
          <w:b/>
          <w:sz w:val="32"/>
          <w:szCs w:val="32"/>
        </w:rPr>
        <w:t>1.综合实力跃上新台阶</w:t>
      </w:r>
      <w:r>
        <w:rPr>
          <w:rFonts w:eastAsia="仿宋_GB2312"/>
          <w:sz w:val="32"/>
          <w:szCs w:val="32"/>
        </w:rPr>
        <w:t>。坚持稳中求进工作总基调，认真践行新发展理念，统筹推进稳增长、促改革、调结构、惠民生、防风险各项工作，经济发展呈现稳步提升、稳中向好态势。2020 年完成生产总值 244.6 亿元，比 2015 年 169.5 亿元增长29.5%，产业结构不断优化，三次产业比重为4.3:60:35.7；固定资产投资103.6亿元，比2015年69.8亿元增长48.3%，一般公共预算收入达到19.7亿元，比2015年10.6亿元增长85.9%；规模以上工业增加值同比增长9.1%，比2015年增长30.5%；社会消 2费品零售总额34.7亿元，比2015年25.4亿元增长36.7%。</w:t>
      </w:r>
    </w:p>
    <w:p>
      <w:pPr>
        <w:widowControl/>
        <w:spacing w:line="600" w:lineRule="exact"/>
        <w:ind w:firstLine="643" w:firstLineChars="200"/>
        <w:rPr>
          <w:rFonts w:eastAsia="仿宋_GB2312"/>
          <w:sz w:val="32"/>
          <w:szCs w:val="32"/>
        </w:rPr>
      </w:pPr>
      <w:r>
        <w:rPr>
          <w:rFonts w:eastAsia="楷体_GB2312"/>
          <w:b/>
          <w:sz w:val="32"/>
          <w:szCs w:val="32"/>
        </w:rPr>
        <w:t>2.转型发展迈入新阶段</w:t>
      </w:r>
      <w:r>
        <w:rPr>
          <w:rFonts w:eastAsia="仿宋_GB2312"/>
          <w:sz w:val="32"/>
          <w:szCs w:val="32"/>
        </w:rPr>
        <w:t>。坚持转型为纲不动摇，产业结构持续优化，新旧动能加速转换，质量效益稳步提升。一产突出农业产业化发展，食品、蚕桑、畜牧、中药材等产业发展壮大，征弘食品、相府蜜酒等产品产销两旺，禹珈豪丝业、晋岳文化等多家企业参与构建蚕桑全产业链，温氏养殖和百万蛋鸡现代化养殖项目加快推进；潞党参、连翘、山茱萸等中药材种植面积达11.9万亩。二产突出传统产业与新兴产业并重，煤炭产业坚持走好清洁高效利用之路，武甲、小西煤业顺利投产，龙湾煤矿成功置换400万吨产能，“优煤易购”营销网络日益扩大，新增先进产能495万吨，累计生产原煤8462.9万吨。煤层气产业快速发展，多气源供气格局初步形成。电力产业平稳运行，累计发电946.7亿度。陶瓷产业后劲增强，汇子新材料、阳城·苏州智慧产业园、大富陶瓷等一批大项目开工建设投产，琉璃珐华沉睡多年，初露峥嵘，被授予“中国 （华北） 建筑陶瓷生产基地”“中国建筑琉璃之乡”等荣誉称号。光伏电站、固废综合利用、绿洲大麻纤维生产线等一批战略性新兴产业落地投产达效。三产突出抓全域旅游，围绕“中原市民旅居后花园”目标定位，实施“四全四游”发展战略和“五十百千万”旅游振兴计划，骨干景区上档升级，旅游交通更加便捷，文旅产品丰富多元，康养产业实现起步，国际徒步大会、农业嘉年华等旅游节庆活动如火如荼开展，《一代名相陈廷敬》《铭心岁月》在央视热播，《再回相府》《古堡！古堡！》成功上演，成功入选首批国家全域旅游示范区。同时，引进发展了物流、金融等业态，生产性服务业实现新的突破。</w:t>
      </w:r>
    </w:p>
    <w:p>
      <w:pPr>
        <w:widowControl/>
        <w:spacing w:line="600" w:lineRule="exact"/>
        <w:ind w:firstLine="643" w:firstLineChars="200"/>
        <w:rPr>
          <w:rFonts w:eastAsia="仿宋_GB2312"/>
          <w:sz w:val="32"/>
          <w:szCs w:val="32"/>
        </w:rPr>
      </w:pPr>
      <w:r>
        <w:rPr>
          <w:rFonts w:eastAsia="楷体_GB2312"/>
          <w:b/>
          <w:sz w:val="32"/>
          <w:szCs w:val="32"/>
        </w:rPr>
        <w:t>3.城乡融合取得新成效</w:t>
      </w:r>
      <w:r>
        <w:rPr>
          <w:rFonts w:eastAsia="仿宋_GB2312"/>
          <w:sz w:val="32"/>
          <w:szCs w:val="32"/>
        </w:rPr>
        <w:t>。聚焦高水平崛起，以新型城镇化为牵引，按照“公园城市”理念和“精致山城”定位，深入实施“大县城”战略，</w:t>
      </w:r>
      <w:r>
        <w:rPr>
          <w:sz w:val="32"/>
          <w:szCs w:val="32"/>
        </w:rPr>
        <w:t>濩</w:t>
      </w:r>
      <w:r>
        <w:rPr>
          <w:rFonts w:eastAsia="仿宋_GB2312"/>
          <w:sz w:val="32"/>
          <w:szCs w:val="32"/>
        </w:rPr>
        <w:t>泽古城、凤南新城、演礼新城建设全面启动，组团式发展格局加快形成，城市框架不断拉大。一批打基础、利长远、补短板的基础设施工程强势推进，城中村改造项目进展顺利，城市功能更加完备。持续巩固交通秩序、街巷道路和县城环境整治成果，“脏乱差堵”问题得到根除，80公里生态绿道牵手六大森林公园，城市“颜值”不断提升，荣获“国家卫生县城”“山西省文明县城”荣誉称号，被国家发改委列为“全国县城新型城镇化建设示范县”。牢固树立“绿水青山就是金山银山”的理念，加快实施“蓝天、碧水、绿野、净土”四大工程，持续打好大气、水、土壤防治“三大战役”，污染防治工作取得重大成效。聚焦五个振兴，围绕旅游抓农业、围绕农民抓旅游，把“种农田”变为“卖风光”，把“美丽风景”变身“美丽经济”，实施了以旅游为导向的美丽乡村建设，狠抓了休闲农业和乡村旅游产业融合发展，启动了中国农业公园建设和农林文旅康产业融合发展试点，建成了1000余户农家乐和一批农场农庄乡村旅游节点。开展了拆违治乱、垃圾治理、污水治理、厕所革命、卫生乡村“五大专项行动”，“四好农村路”圆满收官，农村饮水安全水平持续提升，“河长制”全面推行见效，美丽乡村展露新颜，人居环境持续改善，人民生活水平不断提高。</w:t>
      </w:r>
    </w:p>
    <w:p>
      <w:pPr>
        <w:widowControl/>
        <w:spacing w:line="600" w:lineRule="exact"/>
        <w:ind w:firstLine="643" w:firstLineChars="200"/>
        <w:rPr>
          <w:rFonts w:eastAsia="仿宋_GB2312"/>
          <w:sz w:val="32"/>
          <w:szCs w:val="32"/>
        </w:rPr>
      </w:pPr>
      <w:r>
        <w:rPr>
          <w:rFonts w:eastAsia="楷体_GB2312"/>
          <w:b/>
          <w:sz w:val="32"/>
          <w:szCs w:val="32"/>
        </w:rPr>
        <w:t>4.改革开放取得新突破</w:t>
      </w:r>
      <w:r>
        <w:rPr>
          <w:rFonts w:eastAsia="仿宋_GB2312"/>
          <w:sz w:val="32"/>
          <w:szCs w:val="32"/>
        </w:rPr>
        <w:t>。深入推进相对集中行政许可权改革，全面开启“一枚印章管审批”审批模式，政务服务环境和“六最”营商环境持续优化。深入推进“点供用地双平衡”“林权抵押”等一批改革，形成了可推广、可复制的“阳城经验”。经济技术开发区挂牌成立，“三化三制”改革基本完成，管运分离全面启动，成功迈入全省开发区第一方阵。机构改革任务全面完成，国投、国资、文旅三家公司组建成立，党政机关所属企业和经营性事业单位脱钩转企改革进展顺利。持续实施中小企业成长工程，新增44户规模以上工业企业，23家企业登陆“晋兴板”，32家企业在“展示板”展示，15家企业跻身省级“专精特新”企业，电子商务创业园被认定为省级小微企业创业创新基地，荣获全国电子商务进农村示范县。招商引资成效显著，组建“十二大产业百人招商团队”，紧盯“六新”抓招商、上项目，一批项目相继签约落地。2020年，阳城县委经济工作会议提出“内学孝义、外学济源”的号召，拉开了官方交往交流的序幕，先后在洛阳设立“洛阳·阳城会客厅”，与河南济源在愚公精神研究上开展合作，融合发展的态势初步形成。</w:t>
      </w:r>
    </w:p>
    <w:p>
      <w:pPr>
        <w:widowControl/>
        <w:spacing w:line="600" w:lineRule="exact"/>
        <w:ind w:firstLine="643" w:firstLineChars="200"/>
        <w:rPr>
          <w:rFonts w:eastAsia="仿宋_GB2312"/>
          <w:sz w:val="32"/>
          <w:szCs w:val="32"/>
        </w:rPr>
      </w:pPr>
      <w:r>
        <w:rPr>
          <w:rFonts w:eastAsia="楷体_GB2312"/>
          <w:b/>
          <w:sz w:val="32"/>
          <w:szCs w:val="32"/>
        </w:rPr>
        <w:t>5.人民生活再上新水平</w:t>
      </w:r>
      <w:r>
        <w:rPr>
          <w:rFonts w:eastAsia="仿宋_GB2312"/>
          <w:sz w:val="32"/>
          <w:szCs w:val="32"/>
        </w:rPr>
        <w:t>。15个贫困村全部退出，4212户9157人全部稳定脱贫，荣获全省脱贫攻坚组织创新奖。有效应对新冠肺炎疫情，努力为群众织牢抗疫“防护网”，实现确诊病例“零死亡”、医务人员“零感染”。持续推进“人人持证、技能社会”建设，采集劳动力27.4万人，建档立卡完成率100%。公共文化服务体系更加健全，“四馆一院”主体完工，文物保护工作扎实开展，商汤文化、廉吏文化、非遗文化、红色文化等得到传承保护开发，昆仑丘 （析城山） 文化活动成功举办，影响力持续扩大。基础教育稳步提升，高中教育品牌凸显，阳城一中被清华大学确定为“优质生源中学”。县域医疗卫生一体化改革有序开展，医防融合工作走在全省前列，医疗服务能力持续提升。城乡低保标准持续提高，民生保障更有“温度”。“六大圆梦”顺利实施，照进现实。</w:t>
      </w:r>
      <w:r>
        <w:rPr>
          <w:sz w:val="32"/>
          <w:szCs w:val="32"/>
        </w:rPr>
        <w:t>濩</w:t>
      </w:r>
      <w:r>
        <w:rPr>
          <w:rFonts w:eastAsia="仿宋_GB2312"/>
          <w:sz w:val="32"/>
          <w:szCs w:val="32"/>
        </w:rPr>
        <w:t>泽古城复兴梦全面启动，部分拆迁和节点建设完工，城墙实现大部合拢；集中供暖压茬推进，供热面积突破1000万平方米；“气化阳城”有力推进，乡镇气化通达率达93%；阳济高速实现通车，搭建起阳城融入中原的高速通道。太行一号国家风景道阳城段全线贯通，“大车不进城”县城路网项目深入实施，八甲口快速通道、阳西互通立交、阳济高速连接线、滨河东路延长线等节点工程纷纷建成，城际、城市、城乡、乡村、旅游五级公交一体化网络格局全面形成，行政村通水泥路、公交车全覆盖，群众出行更加方便；“引沁入阳”梦想成真，张峰一干竣工通水，西北干渠供水工程主体基本完工；智慧阳城深入推进，天网工程、雪亮工程覆盖面持续扩大，大数据中心建成。</w:t>
      </w:r>
    </w:p>
    <w:p>
      <w:pPr>
        <w:widowControl/>
        <w:spacing w:line="600" w:lineRule="exact"/>
        <w:ind w:firstLine="643" w:firstLineChars="200"/>
        <w:rPr>
          <w:rFonts w:eastAsia="仿宋_GB2312"/>
          <w:sz w:val="32"/>
          <w:szCs w:val="32"/>
        </w:rPr>
      </w:pPr>
      <w:r>
        <w:rPr>
          <w:rFonts w:eastAsia="楷体_GB2312"/>
          <w:b/>
          <w:sz w:val="32"/>
          <w:szCs w:val="32"/>
        </w:rPr>
        <w:t>6.社会治理开创新局面</w:t>
      </w:r>
      <w:r>
        <w:rPr>
          <w:rFonts w:eastAsia="仿宋_GB2312"/>
          <w:sz w:val="32"/>
          <w:szCs w:val="32"/>
        </w:rPr>
        <w:t>。坚持党建引领，依托法治保障，立足人民调解，有效避免和化解了一批矛盾纠纷，基层社会治理能力得到明显提升。法治政府建设推进机制进一步完善，依法治县工作实现了稳健开局、良好起步。及时搭建县级金融风险监测预警平台，组织开展涉非涉稳风险专项排查化解等专项行动，守住了风险底线，有效化解了各类金融风险。深入推进“平安阳城”创建，扎实开展“三零”单位创建，建立矛盾纠纷排查化解常态机制。持续深入开展扫黑除恶专项斗争，深化重点领域专项整治，安全生产形势持续稳定，群众安全感和满意度明显上升。</w:t>
      </w:r>
    </w:p>
    <w:p>
      <w:pPr>
        <w:widowControl/>
        <w:spacing w:line="600" w:lineRule="exact"/>
        <w:ind w:firstLine="640" w:firstLineChars="200"/>
        <w:rPr>
          <w:rFonts w:eastAsia="仿宋_GB2312"/>
          <w:sz w:val="32"/>
          <w:szCs w:val="32"/>
        </w:rPr>
      </w:pPr>
      <w:r>
        <w:rPr>
          <w:rFonts w:eastAsia="仿宋_GB2312"/>
          <w:sz w:val="32"/>
          <w:szCs w:val="32"/>
        </w:rPr>
        <w:t>综上所述，“十三五”时期，阳城在各方面积极推动与中原城市群的协作协同，取得了一些成绩，融入中原城市群具备了更稳固的基础，同时不充分、不平衡等问题特征明显。</w:t>
      </w:r>
    </w:p>
    <w:p>
      <w:pPr>
        <w:widowControl/>
        <w:spacing w:line="600" w:lineRule="exact"/>
        <w:ind w:firstLine="643" w:firstLineChars="200"/>
        <w:rPr>
          <w:rFonts w:eastAsia="仿宋_GB2312"/>
          <w:sz w:val="32"/>
          <w:szCs w:val="32"/>
        </w:rPr>
      </w:pPr>
      <w:r>
        <w:rPr>
          <w:rFonts w:eastAsia="楷体_GB2312"/>
          <w:b/>
          <w:sz w:val="32"/>
          <w:szCs w:val="32"/>
        </w:rPr>
        <w:t>一是经济发展不充分</w:t>
      </w:r>
      <w:r>
        <w:rPr>
          <w:rFonts w:eastAsia="仿宋_GB2312"/>
          <w:sz w:val="32"/>
          <w:szCs w:val="32"/>
        </w:rPr>
        <w:t>。在中原城市群核心区城市中，阳城经济发展总体规模仍然较小，追赶对象济源市在中原城市群核心发展GDP排名第14位附近，2020年济源市全年生产总值为703.16亿元，阳城只有244.64亿元，仅为济源的1/3。济源全年居民人均可支配收入为30012.9元，阳城仅为23485元。</w:t>
      </w:r>
    </w:p>
    <w:p>
      <w:pPr>
        <w:widowControl/>
        <w:spacing w:line="600" w:lineRule="exact"/>
        <w:ind w:firstLine="643" w:firstLineChars="200"/>
        <w:rPr>
          <w:rFonts w:eastAsia="仿宋_GB2312"/>
          <w:sz w:val="32"/>
          <w:szCs w:val="32"/>
        </w:rPr>
      </w:pPr>
      <w:r>
        <w:rPr>
          <w:rFonts w:eastAsia="楷体_GB2312"/>
          <w:b/>
          <w:sz w:val="32"/>
          <w:szCs w:val="32"/>
        </w:rPr>
        <w:t>二是产业结构不平衡</w:t>
      </w:r>
      <w:r>
        <w:rPr>
          <w:rFonts w:eastAsia="仿宋_GB2312"/>
          <w:sz w:val="32"/>
          <w:szCs w:val="32"/>
        </w:rPr>
        <w:t>。阳城“一煤独大”的产业结构没有根本改变，煤炭比重过高、现代服务业发展滞后问题仍是经济转型面临的主要任务，区域产业协作的空间和规模比较有限。同时，缺乏对中原城市群各城市的市场和产业的深度系统研究，与中原城市群各城市的产业链对接比较薄弱。</w:t>
      </w:r>
    </w:p>
    <w:p>
      <w:pPr>
        <w:spacing w:line="600" w:lineRule="exact"/>
        <w:ind w:firstLine="643" w:firstLineChars="200"/>
        <w:rPr>
          <w:rFonts w:eastAsia="仿宋_GB2312"/>
          <w:sz w:val="32"/>
          <w:szCs w:val="32"/>
        </w:rPr>
      </w:pPr>
      <w:r>
        <w:rPr>
          <w:rFonts w:eastAsia="楷体_GB2312"/>
          <w:b/>
          <w:sz w:val="32"/>
          <w:szCs w:val="32"/>
        </w:rPr>
        <w:t>三是开放程度比较低</w:t>
      </w:r>
      <w:r>
        <w:rPr>
          <w:rFonts w:eastAsia="仿宋_GB2312"/>
          <w:sz w:val="32"/>
          <w:szCs w:val="32"/>
        </w:rPr>
        <w:t>。</w:t>
      </w:r>
      <w:r>
        <w:rPr>
          <w:rFonts w:eastAsia="仿宋_GB2312"/>
          <w:bCs/>
          <w:sz w:val="32"/>
          <w:szCs w:val="32"/>
        </w:rPr>
        <w:t>阳城同中原地区的交通便捷性和一体化程度低，缺少市政化快速通道联系。交通便利性仍然是制约地域协同的约束性因素。与西面运城、韩城地区的连接只有公路，与东面鹤壁、安阳联系受太行山阻隔尚无高速公路直达，需绕行长治，实现与中原城市群高水平的互联互通仍然有一定的差距。</w:t>
      </w:r>
    </w:p>
    <w:p>
      <w:pPr>
        <w:spacing w:line="600" w:lineRule="exact"/>
        <w:ind w:firstLine="643" w:firstLineChars="200"/>
        <w:rPr>
          <w:rFonts w:eastAsia="仿宋_GB2312"/>
          <w:sz w:val="32"/>
          <w:szCs w:val="32"/>
        </w:rPr>
      </w:pPr>
      <w:r>
        <w:rPr>
          <w:rFonts w:eastAsia="楷体_GB2312"/>
          <w:b/>
          <w:sz w:val="32"/>
          <w:szCs w:val="32"/>
        </w:rPr>
        <w:t>四是要素吸引力不足</w:t>
      </w:r>
      <w:r>
        <w:rPr>
          <w:rFonts w:eastAsia="仿宋_GB2312"/>
          <w:sz w:val="32"/>
          <w:szCs w:val="32"/>
        </w:rPr>
        <w:t>。受内陆和资源城市发展特征影响，阳城在发展路径上仍存在传统思维惯性，在深化改革和政策贯彻落实方面仍存在不足，营商环境与沿海地区城市以及中原城市群的郑州、洛阳等城市相比仍有差距。同时，与新型城镇化、人口老龄化相匹配的基本医疗卫生和体育健身服务体系不健全，制约着对外来人才和高端要素的吸引力。</w:t>
      </w:r>
    </w:p>
    <w:p>
      <w:pPr>
        <w:widowControl/>
        <w:spacing w:line="600" w:lineRule="exact"/>
        <w:rPr>
          <w:rFonts w:eastAsia="仿宋_GB2312"/>
          <w:sz w:val="32"/>
          <w:szCs w:val="32"/>
        </w:rPr>
      </w:pPr>
    </w:p>
    <w:p>
      <w:pPr>
        <w:widowControl/>
        <w:spacing w:line="600" w:lineRule="exact"/>
        <w:jc w:val="center"/>
        <w:outlineLvl w:val="1"/>
        <w:rPr>
          <w:rFonts w:eastAsia="黑体"/>
          <w:sz w:val="32"/>
          <w:szCs w:val="32"/>
        </w:rPr>
      </w:pPr>
      <w:bookmarkStart w:id="8" w:name="_Toc90809325"/>
      <w:bookmarkStart w:id="9" w:name="_Toc71890097"/>
      <w:r>
        <w:rPr>
          <w:rFonts w:eastAsia="黑体"/>
          <w:sz w:val="32"/>
          <w:szCs w:val="32"/>
        </w:rPr>
        <w:t>第四节 机遇挑战</w:t>
      </w:r>
      <w:bookmarkEnd w:id="8"/>
      <w:bookmarkEnd w:id="9"/>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“十四五”时期是充满挑战和机遇的全面转型时代，国际经济格局深度调整，中国经济发展</w:t>
      </w:r>
      <w:r>
        <w:rPr>
          <w:rFonts w:hint="eastAsia" w:eastAsia="仿宋_GB2312"/>
          <w:bCs/>
          <w:sz w:val="32"/>
          <w:szCs w:val="32"/>
        </w:rPr>
        <w:t>进入</w:t>
      </w:r>
      <w:r>
        <w:rPr>
          <w:rFonts w:eastAsia="仿宋_GB2312"/>
          <w:bCs/>
          <w:sz w:val="32"/>
          <w:szCs w:val="32"/>
        </w:rPr>
        <w:t>新常态，区域经济发展率先进入转型发展阵痛期，阳城县主动融入中原城市群，厚植在山西省域和晋城市域的发展优势，对于全方位推动阳城高质量发展具有重要意义。</w:t>
      </w:r>
    </w:p>
    <w:p>
      <w:pPr>
        <w:widowControl/>
        <w:spacing w:line="600" w:lineRule="exact"/>
        <w:ind w:firstLine="643" w:firstLineChars="200"/>
        <w:rPr>
          <w:rFonts w:eastAsia="仿宋_GB2312"/>
          <w:bCs/>
          <w:sz w:val="32"/>
          <w:szCs w:val="32"/>
        </w:rPr>
      </w:pPr>
      <w:r>
        <w:rPr>
          <w:rFonts w:eastAsia="楷体_GB2312"/>
          <w:b/>
          <w:bCs/>
          <w:sz w:val="32"/>
          <w:szCs w:val="32"/>
        </w:rPr>
        <w:t>阳城加快融入中原城市群，有利于融入城市群国家发展战略。</w:t>
      </w:r>
      <w:r>
        <w:rPr>
          <w:rFonts w:eastAsia="仿宋_GB2312"/>
          <w:bCs/>
          <w:sz w:val="32"/>
          <w:szCs w:val="32"/>
        </w:rPr>
        <w:t>“十四五”期间，在构架新格局的大趋势之下，未来经济发展主要会围绕几大城市群进行，中国城市群发展将进入集中发力阶段。积极融入中原城市群的国家发展规划，有利于加深与中原城市的区域合作，通过区域联动和一体化发展，在晋东南地区率先崛起，实现弯道超车、换道领跑。</w:t>
      </w:r>
    </w:p>
    <w:p>
      <w:pPr>
        <w:widowControl/>
        <w:spacing w:line="600" w:lineRule="exact"/>
        <w:ind w:firstLine="643" w:firstLineChars="200"/>
        <w:rPr>
          <w:rFonts w:eastAsia="仿宋_GB2312"/>
          <w:bCs/>
          <w:sz w:val="32"/>
          <w:szCs w:val="32"/>
        </w:rPr>
      </w:pPr>
      <w:r>
        <w:rPr>
          <w:rFonts w:eastAsia="楷体_GB2312"/>
          <w:b/>
          <w:bCs/>
          <w:sz w:val="32"/>
          <w:szCs w:val="32"/>
        </w:rPr>
        <w:t>阳城加快融入中原城市群，有利于享受先行先试政策红利。</w:t>
      </w:r>
      <w:r>
        <w:rPr>
          <w:rFonts w:eastAsia="仿宋_GB2312"/>
          <w:bCs/>
          <w:sz w:val="32"/>
          <w:szCs w:val="32"/>
        </w:rPr>
        <w:t>中原经济区、中原城市群进入“国字号”战略和规划，意味着国家层面对中原区域发展的重视。国务院在批复《中原城市群发展规划》中明确要求，国务院有关部门按照职能分工研究制定支持中原城市群发展的具体措施，在有关规划编制、体制创新、政策实施、项目安排、资金投入、土地保障等方面给予积极支持。阳城作为中原城市群的核心发展区，能够享受支持发展政策红利，迎来新的发展契机。</w:t>
      </w:r>
    </w:p>
    <w:p>
      <w:pPr>
        <w:widowControl/>
        <w:spacing w:line="600" w:lineRule="exact"/>
        <w:ind w:firstLine="643" w:firstLineChars="200"/>
        <w:rPr>
          <w:rFonts w:eastAsia="仿宋_GB2312"/>
          <w:bCs/>
          <w:sz w:val="32"/>
          <w:szCs w:val="32"/>
        </w:rPr>
      </w:pPr>
      <w:r>
        <w:rPr>
          <w:rFonts w:eastAsia="楷体_GB2312"/>
          <w:b/>
          <w:bCs/>
          <w:sz w:val="32"/>
          <w:szCs w:val="32"/>
        </w:rPr>
        <w:t>阳城加快融入中原城市群，有利于推动阳城高水平崛起。</w:t>
      </w:r>
      <w:r>
        <w:rPr>
          <w:rFonts w:eastAsia="仿宋_GB2312"/>
          <w:bCs/>
          <w:sz w:val="32"/>
          <w:szCs w:val="32"/>
        </w:rPr>
        <w:t>中原城市群的战略定位是全国工业化、城镇化和农业现代化协调发展示范区，是全国区域协调发展的战略支点，是重要的现代综合交通枢纽和华夏历史文明传承创新区。阳城正处于工业化、城镇化加快推进阶段，积极主动融入，参与产业分工，可以将煤炭、陶瓷、文化、旅游等产业融入中原经济圈，还可以承接先进制造、现代物流等新产业、新业态，打造县域经济的新支柱产业。中原城市群的战略定位和产业发展政策红利，对阳城发展的针对性、适用性很强，对于推动阳城产业结构调整、带动经济转型升级、构建现代化经济体系具有重要的现实意义。</w:t>
      </w:r>
    </w:p>
    <w:p>
      <w:pPr>
        <w:widowControl/>
        <w:spacing w:line="600" w:lineRule="exact"/>
        <w:ind w:firstLine="640" w:firstLineChars="200"/>
        <w:rPr>
          <w:rFonts w:eastAsia="仿宋_GB2312"/>
          <w:bCs/>
          <w:sz w:val="32"/>
          <w:szCs w:val="32"/>
        </w:rPr>
      </w:pPr>
      <w:r>
        <w:rPr>
          <w:rFonts w:eastAsia="仿宋_GB2312"/>
          <w:bCs/>
          <w:sz w:val="32"/>
          <w:szCs w:val="32"/>
        </w:rPr>
        <w:t>与此同时，阳城在融入</w:t>
      </w:r>
      <w:r>
        <w:rPr>
          <w:rFonts w:hint="eastAsia" w:eastAsia="仿宋_GB2312"/>
          <w:bCs/>
          <w:sz w:val="32"/>
          <w:szCs w:val="32"/>
        </w:rPr>
        <w:t>中原城市群</w:t>
      </w:r>
      <w:r>
        <w:rPr>
          <w:rFonts w:eastAsia="仿宋_GB2312"/>
          <w:bCs/>
          <w:sz w:val="32"/>
          <w:szCs w:val="32"/>
        </w:rPr>
        <w:t>过程中仍面临一些挑战。</w:t>
      </w:r>
    </w:p>
    <w:p>
      <w:pPr>
        <w:widowControl/>
        <w:spacing w:line="600" w:lineRule="exact"/>
        <w:ind w:firstLine="643" w:firstLineChars="200"/>
        <w:rPr>
          <w:rFonts w:eastAsia="仿宋_GB2312"/>
          <w:bCs/>
          <w:sz w:val="32"/>
          <w:szCs w:val="32"/>
        </w:rPr>
      </w:pPr>
      <w:r>
        <w:rPr>
          <w:rFonts w:eastAsia="楷体_GB2312"/>
          <w:b/>
          <w:bCs/>
          <w:sz w:val="32"/>
          <w:szCs w:val="32"/>
        </w:rPr>
        <w:t>区县竞争压力大</w:t>
      </w:r>
      <w:r>
        <w:rPr>
          <w:rFonts w:eastAsia="仿宋_GB2312"/>
          <w:bCs/>
          <w:sz w:val="32"/>
          <w:szCs w:val="32"/>
        </w:rPr>
        <w:t>。阳城县与山西省内、晋城市内其他城市产业同构现象较为严重，同质化竞争较为激烈。面对中部崛起和中原城市群发展机遇、面对山西省新型工业基地建设机遇，各个城市都在求创新、谋发展，如何发挥比较优势，找准定位，错位发展，是阳城县所面对的重要挑战。</w:t>
      </w:r>
    </w:p>
    <w:p>
      <w:pPr>
        <w:widowControl/>
        <w:spacing w:line="600" w:lineRule="exact"/>
        <w:ind w:firstLine="643" w:firstLineChars="200"/>
        <w:rPr>
          <w:rFonts w:eastAsia="仿宋_GB2312"/>
          <w:bCs/>
          <w:sz w:val="32"/>
          <w:szCs w:val="32"/>
        </w:rPr>
      </w:pPr>
      <w:r>
        <w:rPr>
          <w:rFonts w:eastAsia="楷体_GB2312"/>
          <w:b/>
          <w:bCs/>
          <w:sz w:val="32"/>
          <w:szCs w:val="32"/>
        </w:rPr>
        <w:t>协调机制不健全</w:t>
      </w:r>
      <w:r>
        <w:rPr>
          <w:rFonts w:eastAsia="仿宋_GB2312"/>
          <w:bCs/>
          <w:sz w:val="32"/>
          <w:szCs w:val="32"/>
        </w:rPr>
        <w:t>。中原城市群自身内部协同性尚且发展不足，各地政府间尚未建立顺畅持续的沟通协调机制和协同发展机制，行政壁垒和要素流动制约较多，缺乏较为成熟的协商和推进机制。阳城与其他中原城市又面临行政割据因素和跨省协调的难题。由于总体缺乏协调联动，难以形成统一的政策和市场机制。在规划和战略层面对接不够，资源、人才、企业、公共服务等方面的对接效率更是亟待提升。</w:t>
      </w:r>
    </w:p>
    <w:p>
      <w:pPr>
        <w:widowControl/>
        <w:spacing w:line="600" w:lineRule="exact"/>
        <w:ind w:firstLine="643" w:firstLineChars="200"/>
        <w:rPr>
          <w:rFonts w:eastAsia="仿宋_GB2312"/>
          <w:bCs/>
          <w:sz w:val="32"/>
          <w:szCs w:val="32"/>
        </w:rPr>
      </w:pPr>
      <w:r>
        <w:rPr>
          <w:rFonts w:eastAsia="楷体_GB2312"/>
          <w:b/>
          <w:bCs/>
          <w:sz w:val="32"/>
          <w:szCs w:val="32"/>
        </w:rPr>
        <w:t>周边虹吸风险大</w:t>
      </w:r>
      <w:r>
        <w:rPr>
          <w:rFonts w:eastAsia="仿宋_GB2312"/>
          <w:bCs/>
          <w:sz w:val="32"/>
          <w:szCs w:val="32"/>
        </w:rPr>
        <w:t>。随着中原城市群发展，区域交通便利度的提升，郑州、洛阳等较大城市对</w:t>
      </w:r>
      <w:r>
        <w:rPr>
          <w:rFonts w:hint="eastAsia" w:eastAsia="仿宋_GB2312"/>
          <w:bCs/>
          <w:sz w:val="32"/>
          <w:szCs w:val="32"/>
        </w:rPr>
        <w:t>资源要素的</w:t>
      </w:r>
      <w:r>
        <w:rPr>
          <w:rFonts w:eastAsia="仿宋_GB2312"/>
          <w:bCs/>
          <w:sz w:val="32"/>
          <w:szCs w:val="32"/>
        </w:rPr>
        <w:t>虹吸作用可能上升，在城市群的大城市和中小城市之间形成马太效应，加快阳城的人口、企业、资本等要素流出。</w:t>
      </w:r>
    </w:p>
    <w:p>
      <w:pPr>
        <w:widowControl/>
        <w:spacing w:line="600" w:lineRule="exact"/>
        <w:ind w:firstLine="643" w:firstLineChars="200"/>
        <w:rPr>
          <w:rFonts w:eastAsia="仿宋_GB2312"/>
          <w:bCs/>
          <w:sz w:val="32"/>
          <w:szCs w:val="32"/>
        </w:rPr>
      </w:pPr>
      <w:r>
        <w:rPr>
          <w:rFonts w:eastAsia="楷体_GB2312"/>
          <w:b/>
          <w:bCs/>
          <w:sz w:val="32"/>
          <w:szCs w:val="32"/>
        </w:rPr>
        <w:t>思想观念有偏颇</w:t>
      </w:r>
      <w:r>
        <w:rPr>
          <w:rFonts w:eastAsia="仿宋_GB2312"/>
          <w:bCs/>
          <w:sz w:val="32"/>
          <w:szCs w:val="32"/>
        </w:rPr>
        <w:t>。长期以来阳城人存在对河南人是“草灰”的陈旧认识，夜郎自大。潜意识里认同感不强，融入中原城市群的意识不强，缺乏主动融入的意识和办法。阳城在河南的地域形象宣传仍有很大潜力可挖。</w:t>
      </w:r>
      <w:r>
        <w:rPr>
          <w:rFonts w:eastAsia="仿宋_GB2312"/>
          <w:bCs/>
          <w:sz w:val="32"/>
          <w:szCs w:val="32"/>
        </w:rPr>
        <w:br w:type="page"/>
      </w:r>
    </w:p>
    <w:p>
      <w:pPr>
        <w:widowControl/>
        <w:spacing w:line="600" w:lineRule="exact"/>
        <w:jc w:val="center"/>
        <w:outlineLvl w:val="0"/>
        <w:rPr>
          <w:rFonts w:eastAsia="方正小标宋简体"/>
          <w:bCs/>
          <w:sz w:val="32"/>
          <w:szCs w:val="32"/>
        </w:rPr>
      </w:pPr>
      <w:bookmarkStart w:id="10" w:name="_Toc90809326"/>
      <w:r>
        <w:rPr>
          <w:rFonts w:eastAsia="方正小标宋简体"/>
          <w:bCs/>
          <w:sz w:val="32"/>
          <w:szCs w:val="32"/>
        </w:rPr>
        <w:t>第二章 总体思路和目标定位</w:t>
      </w:r>
      <w:bookmarkEnd w:id="10"/>
    </w:p>
    <w:p>
      <w:pPr>
        <w:widowControl/>
        <w:spacing w:line="600" w:lineRule="exact"/>
        <w:jc w:val="center"/>
        <w:rPr>
          <w:rFonts w:eastAsia="黑体"/>
          <w:bCs/>
          <w:sz w:val="32"/>
          <w:szCs w:val="32"/>
        </w:rPr>
      </w:pPr>
    </w:p>
    <w:p>
      <w:pPr>
        <w:widowControl/>
        <w:spacing w:line="600" w:lineRule="exact"/>
        <w:jc w:val="center"/>
        <w:outlineLvl w:val="0"/>
        <w:rPr>
          <w:rFonts w:eastAsia="黑体"/>
          <w:bCs/>
          <w:sz w:val="32"/>
          <w:szCs w:val="32"/>
        </w:rPr>
      </w:pPr>
      <w:bookmarkStart w:id="11" w:name="_Toc90809327"/>
      <w:r>
        <w:rPr>
          <w:rFonts w:eastAsia="黑体"/>
          <w:bCs/>
          <w:sz w:val="32"/>
          <w:szCs w:val="32"/>
        </w:rPr>
        <w:t>第一节 总体思路</w:t>
      </w:r>
      <w:bookmarkEnd w:id="11"/>
    </w:p>
    <w:p>
      <w:pPr>
        <w:widowControl/>
        <w:spacing w:line="600" w:lineRule="exact"/>
        <w:jc w:val="center"/>
        <w:rPr>
          <w:rFonts w:eastAsia="楷体_GB2312"/>
          <w:b/>
          <w:sz w:val="32"/>
          <w:szCs w:val="32"/>
        </w:rPr>
      </w:pPr>
    </w:p>
    <w:p>
      <w:pPr>
        <w:spacing w:line="600" w:lineRule="exact"/>
        <w:ind w:firstLine="640" w:firstLineChars="200"/>
        <w:rPr>
          <w:rFonts w:eastAsia="仿宋_GB2312"/>
          <w:sz w:val="32"/>
          <w:szCs w:val="32"/>
        </w:rPr>
      </w:pPr>
      <w:r>
        <w:rPr>
          <w:rFonts w:hint="eastAsia" w:eastAsia="仿宋_GB2312"/>
          <w:bCs/>
          <w:sz w:val="32"/>
          <w:szCs w:val="32"/>
        </w:rPr>
        <w:t>以党的十九大和十九届二中、三中、四中、五中、六中全会精神和习近平新时代中国特色社会主义思想为指导，牢牢把握新一轮科技革命、产业变革、开放发展新趋势，紧紧抓住国家构建新发展格局、促进中部地区崛起和高质量发展、推动黄河流域生态保护和高质量发展战略机遇，深入贯彻习近平总书记“三篇光辉文献”精神，认真落实习近平总书记“率先</w:t>
      </w:r>
      <w:r>
        <w:rPr>
          <w:rFonts w:hint="eastAsia" w:ascii="宋体" w:hAnsi="宋体" w:cs="宋体"/>
          <w:bCs/>
          <w:sz w:val="32"/>
          <w:szCs w:val="32"/>
        </w:rPr>
        <w:t>蹚</w:t>
      </w:r>
      <w:r>
        <w:rPr>
          <w:rFonts w:hint="eastAsia" w:eastAsia="仿宋_GB2312"/>
          <w:bCs/>
          <w:sz w:val="32"/>
          <w:szCs w:val="32"/>
        </w:rPr>
        <w:t>出一条转型发展的新路来”重要指示精神，立足新发展阶段、贯彻新发展理念、紧抓构建新发展格局机遇</w:t>
      </w:r>
      <w:r>
        <w:rPr>
          <w:rFonts w:eastAsia="仿宋_GB2312"/>
          <w:bCs/>
          <w:sz w:val="32"/>
          <w:szCs w:val="32"/>
        </w:rPr>
        <w:t>，</w:t>
      </w:r>
      <w:r>
        <w:rPr>
          <w:rFonts w:hint="eastAsia" w:eastAsia="仿宋_GB2312"/>
          <w:bCs/>
          <w:sz w:val="32"/>
          <w:szCs w:val="32"/>
        </w:rPr>
        <w:t>依托阳城区位特点、资源禀赋和产业优势，服从国家促进区域协调发展的大局，实行更加积极的开放合作战略，创造更为优良的政策环境</w:t>
      </w:r>
      <w:r>
        <w:rPr>
          <w:rFonts w:eastAsia="仿宋_GB2312"/>
          <w:bCs/>
          <w:sz w:val="32"/>
          <w:szCs w:val="32"/>
        </w:rPr>
        <w:t>，以“俯身谋合作，携手促发展”的姿态，</w:t>
      </w:r>
      <w:r>
        <w:rPr>
          <w:rFonts w:hint="eastAsia" w:eastAsia="仿宋_GB2312"/>
          <w:bCs/>
          <w:sz w:val="32"/>
          <w:szCs w:val="32"/>
        </w:rPr>
        <w:t>主动融入中原城市群发展，呼应太原经济圈建设，强化优势互补、机制创新开放互动，坚持以开放带开发、以开发促开放的发展思路，携手中原城市群其他核心城市加速融入国内国际双循环，</w:t>
      </w:r>
      <w:r>
        <w:rPr>
          <w:rFonts w:eastAsia="仿宋_GB2312"/>
          <w:bCs/>
          <w:sz w:val="32"/>
          <w:szCs w:val="32"/>
        </w:rPr>
        <w:t>不断增强产业发展新动力，强化开放发展新优势，拓展经济发展新空间，努力成为</w:t>
      </w:r>
      <w:r>
        <w:rPr>
          <w:rFonts w:hint="eastAsia" w:eastAsia="仿宋_GB2312"/>
          <w:sz w:val="32"/>
          <w:szCs w:val="32"/>
        </w:rPr>
        <w:t>新时期对外开放新高地的桥头堡</w:t>
      </w:r>
      <w:r>
        <w:rPr>
          <w:rFonts w:eastAsia="仿宋_GB2312"/>
          <w:bCs/>
          <w:sz w:val="32"/>
          <w:szCs w:val="32"/>
        </w:rPr>
        <w:t>的前哨阵地</w:t>
      </w:r>
      <w:r>
        <w:rPr>
          <w:rFonts w:hint="eastAsia" w:eastAsia="仿宋_GB2312"/>
          <w:bCs/>
          <w:sz w:val="32"/>
          <w:szCs w:val="32"/>
        </w:rPr>
        <w:t>，为全方位推动阳城高质量发展提供强大支撑</w:t>
      </w:r>
      <w:r>
        <w:rPr>
          <w:rFonts w:eastAsia="仿宋_GB2312"/>
          <w:sz w:val="32"/>
          <w:szCs w:val="32"/>
        </w:rPr>
        <w:t>。</w:t>
      </w:r>
    </w:p>
    <w:p>
      <w:pPr>
        <w:widowControl/>
        <w:spacing w:line="600" w:lineRule="exact"/>
        <w:ind w:left="420" w:firstLine="420"/>
        <w:jc w:val="center"/>
        <w:outlineLvl w:val="0"/>
        <w:rPr>
          <w:rFonts w:eastAsia="黑体"/>
          <w:bCs/>
          <w:sz w:val="32"/>
          <w:szCs w:val="32"/>
        </w:rPr>
      </w:pPr>
      <w:bookmarkStart w:id="12" w:name="_Toc90809328"/>
      <w:r>
        <w:rPr>
          <w:rFonts w:eastAsia="黑体"/>
          <w:bCs/>
          <w:sz w:val="32"/>
          <w:szCs w:val="32"/>
        </w:rPr>
        <w:t>第二节 发展定位</w:t>
      </w:r>
      <w:bookmarkEnd w:id="12"/>
    </w:p>
    <w:p>
      <w:pPr>
        <w:spacing w:line="600" w:lineRule="exact"/>
        <w:ind w:firstLine="643" w:firstLineChars="200"/>
        <w:rPr>
          <w:rFonts w:eastAsia="仿宋_GB2312"/>
          <w:sz w:val="32"/>
          <w:szCs w:val="32"/>
        </w:rPr>
      </w:pPr>
      <w:r>
        <w:rPr>
          <w:rFonts w:eastAsia="楷体_GB2312"/>
          <w:b/>
          <w:bCs/>
          <w:sz w:val="32"/>
          <w:szCs w:val="32"/>
        </w:rPr>
        <w:t>清洁能源供应地。</w:t>
      </w:r>
      <w:r>
        <w:rPr>
          <w:rFonts w:eastAsia="仿宋_GB2312"/>
          <w:sz w:val="32"/>
          <w:szCs w:val="32"/>
        </w:rPr>
        <w:t>发挥“兰花炭”直燃无霾优势，扩大民用领域精准供给路径，推进中高端供给；依托晋豫煤运大通道，建设一批煤炭储配中心；推进煤层气等新能源向中原地区的有效供应。</w:t>
      </w:r>
    </w:p>
    <w:p>
      <w:pPr>
        <w:spacing w:line="600" w:lineRule="exact"/>
        <w:ind w:firstLine="643" w:firstLineChars="200"/>
        <w:rPr>
          <w:rFonts w:eastAsia="仿宋_GB2312"/>
          <w:sz w:val="32"/>
          <w:szCs w:val="32"/>
        </w:rPr>
      </w:pPr>
      <w:r>
        <w:rPr>
          <w:rFonts w:eastAsia="楷体_GB2312"/>
          <w:b/>
          <w:bCs/>
          <w:sz w:val="32"/>
          <w:szCs w:val="32"/>
        </w:rPr>
        <w:t>夏养太行度假地。</w:t>
      </w:r>
      <w:r>
        <w:rPr>
          <w:rFonts w:eastAsia="仿宋_GB2312"/>
          <w:sz w:val="32"/>
          <w:szCs w:val="32"/>
        </w:rPr>
        <w:t>立足秀美的太行山水、独特的民居古堡和厚重的历史文化等资源优势，形成“景不断链、绿不断线”最美南太行风光，将阳城全域打造成“中原市民旅居后花园”。</w:t>
      </w:r>
    </w:p>
    <w:p>
      <w:pPr>
        <w:spacing w:line="600" w:lineRule="exact"/>
        <w:ind w:firstLine="643" w:firstLineChars="200"/>
        <w:rPr>
          <w:rFonts w:eastAsia="仿宋_GB2312"/>
          <w:sz w:val="32"/>
          <w:szCs w:val="32"/>
        </w:rPr>
      </w:pPr>
      <w:r>
        <w:rPr>
          <w:rFonts w:eastAsia="楷体_GB2312"/>
          <w:b/>
          <w:bCs/>
          <w:sz w:val="32"/>
          <w:szCs w:val="32"/>
        </w:rPr>
        <w:t>特色山货产出地。</w:t>
      </w:r>
      <w:r>
        <w:rPr>
          <w:rFonts w:eastAsia="仿宋_GB2312"/>
          <w:sz w:val="32"/>
          <w:szCs w:val="32"/>
        </w:rPr>
        <w:t>瞄准为中原城市群提供具有太行山地特色农副产品的定位，建设现代农业产业园，发展休闲农业、功能农业、有机农业、特色农业，做好茧丝和桑葚等蚕桑衍生品、小杂粮、中药材、食用菌、干鲜果等特色农产品的生产加工销售。</w:t>
      </w:r>
    </w:p>
    <w:p>
      <w:pPr>
        <w:spacing w:line="600" w:lineRule="exact"/>
        <w:ind w:firstLine="643" w:firstLineChars="200"/>
        <w:rPr>
          <w:rFonts w:eastAsia="仿宋_GB2312"/>
          <w:sz w:val="32"/>
          <w:szCs w:val="32"/>
        </w:rPr>
      </w:pPr>
      <w:r>
        <w:rPr>
          <w:rFonts w:eastAsia="楷体_GB2312"/>
          <w:b/>
          <w:bCs/>
          <w:sz w:val="32"/>
          <w:szCs w:val="32"/>
        </w:rPr>
        <w:t>新兴产业承接地。</w:t>
      </w:r>
      <w:r>
        <w:rPr>
          <w:rFonts w:eastAsia="仿宋_GB2312"/>
          <w:sz w:val="32"/>
          <w:szCs w:val="32"/>
        </w:rPr>
        <w:t>以阳城经济技术开发区为主战场，积极承接中原地区产业转移，尽快形成新的优势产业。</w:t>
      </w:r>
    </w:p>
    <w:p>
      <w:pPr>
        <w:spacing w:line="600" w:lineRule="exact"/>
        <w:ind w:firstLine="643" w:firstLineChars="200"/>
        <w:rPr>
          <w:rFonts w:eastAsia="仿宋_GB2312"/>
          <w:sz w:val="32"/>
          <w:szCs w:val="32"/>
        </w:rPr>
      </w:pPr>
      <w:r>
        <w:rPr>
          <w:rFonts w:eastAsia="楷体_GB2312"/>
          <w:b/>
          <w:bCs/>
          <w:sz w:val="32"/>
          <w:szCs w:val="32"/>
        </w:rPr>
        <w:t>区域物流集散地。</w:t>
      </w:r>
      <w:r>
        <w:rPr>
          <w:rFonts w:eastAsia="仿宋_GB2312"/>
          <w:sz w:val="32"/>
          <w:szCs w:val="32"/>
        </w:rPr>
        <w:t>建设快进快出交通体系，打通连接中原和周边市县的大小交通出口，加快与郑州、洛阳物流中心对接，形成承接中原、连接全省的重要区域物流集散地。</w:t>
      </w:r>
    </w:p>
    <w:p>
      <w:pPr>
        <w:spacing w:line="600" w:lineRule="exact"/>
        <w:ind w:firstLine="643" w:firstLineChars="200"/>
        <w:rPr>
          <w:rFonts w:eastAsia="仿宋_GB2312"/>
          <w:sz w:val="32"/>
          <w:szCs w:val="32"/>
        </w:rPr>
      </w:pPr>
      <w:r>
        <w:rPr>
          <w:rFonts w:eastAsia="楷体_GB2312"/>
          <w:b/>
          <w:bCs/>
          <w:sz w:val="32"/>
          <w:szCs w:val="32"/>
        </w:rPr>
        <w:t>一带一路衔接地。</w:t>
      </w:r>
      <w:r>
        <w:rPr>
          <w:rFonts w:eastAsia="仿宋_GB2312"/>
          <w:sz w:val="32"/>
          <w:szCs w:val="32"/>
        </w:rPr>
        <w:t>立足山西融入“一带一路”大商圈的要求，凸显唐宋时期泽潞地区是丝绸织造原料主产地的历史文化优势，凸显阳城琉璃陶瓷等特色产品优势，促进跨区域合作，加强全方位交流，将阳城名优土特产品、高端制造业商品和高附加值农副产品通过航空港、中欧班列打入亚太市场和欧洲市场，使阳城发展搭上“一带一路”快车。</w:t>
      </w:r>
      <w:bookmarkStart w:id="13" w:name="_Toc90809329"/>
    </w:p>
    <w:p>
      <w:pPr>
        <w:widowControl/>
        <w:spacing w:line="600" w:lineRule="exact"/>
        <w:ind w:left="420" w:firstLine="420"/>
        <w:jc w:val="center"/>
        <w:outlineLvl w:val="0"/>
        <w:rPr>
          <w:rFonts w:eastAsia="黑体"/>
          <w:bCs/>
          <w:sz w:val="32"/>
          <w:szCs w:val="32"/>
        </w:rPr>
      </w:pPr>
      <w:r>
        <w:rPr>
          <w:rFonts w:eastAsia="黑体"/>
          <w:bCs/>
          <w:sz w:val="32"/>
          <w:szCs w:val="32"/>
        </w:rPr>
        <w:t>第三节 发展路径</w:t>
      </w:r>
      <w:bookmarkEnd w:id="13"/>
    </w:p>
    <w:p>
      <w:pPr>
        <w:widowControl/>
        <w:spacing w:line="600" w:lineRule="exact"/>
        <w:ind w:firstLine="643" w:firstLineChars="200"/>
        <w:rPr>
          <w:rFonts w:eastAsia="仿宋_GB2312"/>
          <w:bCs/>
          <w:sz w:val="32"/>
          <w:szCs w:val="32"/>
        </w:rPr>
      </w:pPr>
      <w:r>
        <w:rPr>
          <w:rFonts w:eastAsia="楷体_GB2312"/>
          <w:b/>
          <w:bCs/>
          <w:sz w:val="32"/>
          <w:szCs w:val="32"/>
        </w:rPr>
        <w:t>坚持规划引领</w:t>
      </w:r>
      <w:r>
        <w:rPr>
          <w:rFonts w:eastAsia="仿宋_GB2312"/>
          <w:b/>
          <w:bCs/>
          <w:sz w:val="32"/>
          <w:szCs w:val="32"/>
        </w:rPr>
        <w:t>。</w:t>
      </w:r>
      <w:r>
        <w:rPr>
          <w:rFonts w:eastAsia="仿宋_GB2312"/>
          <w:bCs/>
          <w:sz w:val="32"/>
          <w:szCs w:val="32"/>
        </w:rPr>
        <w:t>坚持前瞻性、系统性、整体性原则，突出发挥两地优势和特色，综合统筹人口、空间、土地、交通、城镇建设、生态环境保护、公共服务等领域，实现跨区域国民经济和社会发展规划、城乡规划、土地利用规划、生态环境保护规划等多项规划联合互通。</w:t>
      </w:r>
    </w:p>
    <w:p>
      <w:pPr>
        <w:widowControl/>
        <w:spacing w:line="600" w:lineRule="exact"/>
        <w:ind w:firstLine="643" w:firstLineChars="200"/>
        <w:rPr>
          <w:rFonts w:eastAsia="仿宋_GB2312"/>
          <w:bCs/>
          <w:sz w:val="32"/>
          <w:szCs w:val="32"/>
        </w:rPr>
      </w:pPr>
      <w:r>
        <w:rPr>
          <w:rFonts w:eastAsia="楷体_GB2312"/>
          <w:b/>
          <w:bCs/>
          <w:sz w:val="32"/>
          <w:szCs w:val="32"/>
        </w:rPr>
        <w:t>坚持交通先行</w:t>
      </w:r>
      <w:r>
        <w:rPr>
          <w:rFonts w:eastAsia="仿宋_GB2312"/>
          <w:b/>
          <w:bCs/>
          <w:sz w:val="32"/>
          <w:szCs w:val="32"/>
        </w:rPr>
        <w:t>。</w:t>
      </w:r>
      <w:r>
        <w:rPr>
          <w:rFonts w:eastAsia="仿宋_GB2312"/>
          <w:bCs/>
          <w:sz w:val="32"/>
          <w:szCs w:val="32"/>
        </w:rPr>
        <w:t>立足中原城市群北部现代综合交通枢纽节点定位，推进实现国省干线、城市快速路等各类交通方式有机衔接。重点推进与晋城、济源、洛阳等城市的快速交通建设，择机开通与济源、洛阳同城化公交，推进公共交通一体化，为发展一体化提供根本支撑。</w:t>
      </w:r>
    </w:p>
    <w:p>
      <w:pPr>
        <w:widowControl/>
        <w:spacing w:line="600" w:lineRule="exact"/>
        <w:ind w:firstLine="643" w:firstLineChars="200"/>
        <w:rPr>
          <w:rFonts w:eastAsia="仿宋_GB2312"/>
          <w:bCs/>
          <w:sz w:val="32"/>
          <w:szCs w:val="32"/>
        </w:rPr>
      </w:pPr>
      <w:r>
        <w:rPr>
          <w:rFonts w:eastAsia="楷体_GB2312"/>
          <w:b/>
          <w:bCs/>
          <w:sz w:val="32"/>
          <w:szCs w:val="32"/>
        </w:rPr>
        <w:t>坚持节点突破</w:t>
      </w:r>
      <w:r>
        <w:rPr>
          <w:rFonts w:eastAsia="仿宋_GB2312"/>
          <w:b/>
          <w:bCs/>
          <w:sz w:val="32"/>
          <w:szCs w:val="32"/>
        </w:rPr>
        <w:t>。</w:t>
      </w:r>
      <w:r>
        <w:rPr>
          <w:rFonts w:eastAsia="仿宋_GB2312"/>
          <w:bCs/>
          <w:sz w:val="32"/>
          <w:szCs w:val="32"/>
        </w:rPr>
        <w:t>做强地域空间节点，以阳济高速为基础通道，以融入洛阳为战略支点，重点加强与中原城市群核心城市，特别是与郑州、洛阳、焦作、济源等城市的合作。精准对接亳州、合肥，实现文旅康养领域联动发展，学习先进制度创新经验。拓展合作领域，主要围绕设施联通、产业协同、开放联动、人才流动等领域加强协作。取长补短聊城、菏泽，实现现代农业和电子商务跨越发展。以交通、产业、创新、民生、教育等领域为突破口，与中原城市共同谋划重大合作项目，推进具体合作。</w:t>
      </w:r>
    </w:p>
    <w:p>
      <w:pPr>
        <w:widowControl/>
        <w:spacing w:line="600" w:lineRule="exact"/>
        <w:ind w:firstLine="643" w:firstLineChars="200"/>
        <w:rPr>
          <w:rFonts w:eastAsia="仿宋_GB2312"/>
          <w:bCs/>
          <w:sz w:val="32"/>
          <w:szCs w:val="32"/>
        </w:rPr>
      </w:pPr>
      <w:r>
        <w:rPr>
          <w:rFonts w:eastAsia="楷体_GB2312"/>
          <w:b/>
          <w:bCs/>
          <w:sz w:val="32"/>
          <w:szCs w:val="32"/>
        </w:rPr>
        <w:t>坚持产业协同</w:t>
      </w:r>
      <w:r>
        <w:rPr>
          <w:rFonts w:eastAsia="仿宋_GB2312"/>
          <w:b/>
          <w:bCs/>
          <w:sz w:val="32"/>
          <w:szCs w:val="32"/>
        </w:rPr>
        <w:t>。</w:t>
      </w:r>
      <w:r>
        <w:rPr>
          <w:rFonts w:eastAsia="仿宋_GB2312"/>
          <w:bCs/>
          <w:sz w:val="32"/>
          <w:szCs w:val="32"/>
        </w:rPr>
        <w:t>推动跨地域的产业强项共享、短板互补、发展优化，加强产业链制造环节与服务环节相互协同，发挥乘数效应、组合效应、规模递增效应。主动融入跨地域产业链，参与产业分工，将煤炭、陶瓷、文旅等本地优势产业融入中原经济圈，同时承接先进制造业、现代物流业等新产业、新业态，培育县域经济的新支柱产业。通过重点产业发展、重要通道建设、重点平台打造、营商环境建设和公共服务水平提升等，夯实开放发展基础，提升阳城核心竞争力。</w:t>
      </w:r>
    </w:p>
    <w:p>
      <w:pPr>
        <w:widowControl/>
        <w:spacing w:line="600" w:lineRule="exact"/>
        <w:ind w:firstLine="643" w:firstLineChars="200"/>
        <w:rPr>
          <w:rFonts w:eastAsia="仿宋_GB2312"/>
          <w:bCs/>
          <w:sz w:val="32"/>
          <w:szCs w:val="32"/>
        </w:rPr>
      </w:pPr>
      <w:r>
        <w:rPr>
          <w:rFonts w:eastAsia="楷体_GB2312"/>
          <w:b/>
          <w:bCs/>
          <w:sz w:val="32"/>
          <w:szCs w:val="32"/>
        </w:rPr>
        <w:t>坚持功能互补</w:t>
      </w:r>
      <w:r>
        <w:rPr>
          <w:rFonts w:eastAsia="仿宋_GB2312"/>
          <w:b/>
          <w:bCs/>
          <w:sz w:val="32"/>
          <w:szCs w:val="32"/>
        </w:rPr>
        <w:t>。</w:t>
      </w:r>
      <w:r>
        <w:rPr>
          <w:rFonts w:eastAsia="仿宋_GB2312"/>
          <w:bCs/>
          <w:sz w:val="32"/>
          <w:szCs w:val="32"/>
        </w:rPr>
        <w:t>加快两地生产、生活、生态功能一体化，提升两地通勤和生活便利，不断完善和扩大一体化日常生活圈。创新发展南太行休闲、旅游、康养、文化等产业，提升阳城宜居宜游生活品质，打造中原市民旅居后花园。发挥阳城在能源、农产品、康养、教育、文化生态等方面的比较优势，对接中原城市群在产业体系、科创资源、人力资本、市场空间等方面优势，积极创新合作方式，加大重点领域和关键环节的合作力度。</w:t>
      </w:r>
    </w:p>
    <w:p>
      <w:pPr>
        <w:widowControl/>
        <w:spacing w:line="600" w:lineRule="exact"/>
        <w:ind w:firstLine="643" w:firstLineChars="200"/>
        <w:rPr>
          <w:rFonts w:hint="eastAsia" w:eastAsia="仿宋_GB2312"/>
          <w:bCs/>
          <w:sz w:val="32"/>
          <w:szCs w:val="32"/>
        </w:rPr>
      </w:pPr>
      <w:r>
        <w:rPr>
          <w:rFonts w:eastAsia="楷体_GB2312"/>
          <w:b/>
          <w:bCs/>
          <w:sz w:val="32"/>
          <w:szCs w:val="32"/>
        </w:rPr>
        <w:t>坚持统筹推进</w:t>
      </w:r>
      <w:r>
        <w:rPr>
          <w:rFonts w:eastAsia="仿宋_GB2312"/>
          <w:b/>
          <w:bCs/>
          <w:sz w:val="32"/>
          <w:szCs w:val="32"/>
        </w:rPr>
        <w:t>。</w:t>
      </w:r>
      <w:r>
        <w:rPr>
          <w:rFonts w:eastAsia="仿宋_GB2312"/>
          <w:bCs/>
          <w:sz w:val="32"/>
          <w:szCs w:val="32"/>
        </w:rPr>
        <w:t>统筹基础设施、产业发展、科技创新、人才培养、城乡发展、生态建设、公共服务等领域，形成互促共进发展格局；统筹山水林田湖草，实现生产、生活、生态空间耦合协调发展，让美好生态为一体化发展增彩；统筹产业、交通、通信、商贸、环保、科技、文化、教育、旅游、公安、市政、标准等各方面工作，形成推进一体化发展合力；统筹经济发展与民生改善，增强两地居民获得感、幸福感。</w:t>
      </w:r>
      <w:bookmarkStart w:id="14" w:name="_Toc90809330"/>
    </w:p>
    <w:p>
      <w:pPr>
        <w:widowControl/>
        <w:spacing w:line="600" w:lineRule="exact"/>
        <w:ind w:left="420" w:firstLine="420"/>
        <w:jc w:val="center"/>
        <w:outlineLvl w:val="0"/>
        <w:rPr>
          <w:rFonts w:hint="eastAsia" w:eastAsia="黑体"/>
          <w:bCs/>
          <w:sz w:val="32"/>
          <w:szCs w:val="32"/>
        </w:rPr>
      </w:pPr>
      <w:r>
        <w:rPr>
          <w:rFonts w:eastAsia="黑体"/>
          <w:bCs/>
          <w:sz w:val="32"/>
          <w:szCs w:val="32"/>
        </w:rPr>
        <w:t>第四节 主要目标</w:t>
      </w:r>
      <w:bookmarkEnd w:id="14"/>
    </w:p>
    <w:p>
      <w:pPr>
        <w:widowControl/>
        <w:spacing w:line="600" w:lineRule="exact"/>
        <w:ind w:firstLine="643" w:firstLineChars="200"/>
        <w:rPr>
          <w:rFonts w:hint="eastAsia" w:eastAsia="楷体_GB2312"/>
          <w:b/>
          <w:bCs/>
          <w:sz w:val="32"/>
          <w:szCs w:val="32"/>
        </w:rPr>
      </w:pPr>
      <w:r>
        <w:rPr>
          <w:rFonts w:hint="eastAsia" w:eastAsia="楷体_GB2312"/>
          <w:b/>
          <w:bCs/>
          <w:sz w:val="32"/>
          <w:szCs w:val="32"/>
        </w:rPr>
        <w:t>城市实力迈上新台阶。</w:t>
      </w:r>
      <w:r>
        <w:rPr>
          <w:rFonts w:hint="eastAsia" w:eastAsia="仿宋_GB2312"/>
          <w:bCs/>
          <w:sz w:val="32"/>
          <w:szCs w:val="32"/>
        </w:rPr>
        <w:t>经济总量大幅提升，经济发展质量与效益明显改善，经济结构更加优化，产业实力和竞争力大幅提高，现代化经济体系不断完善，高质量转型发展成效显著，地区生产总值年均增长高于中原城市群核心发展区1个百分点以上，主要经济指标超过全国平均水平、保持全市、全省前列、进入中原城市群第二方阵。</w:t>
      </w:r>
    </w:p>
    <w:p>
      <w:pPr>
        <w:widowControl/>
        <w:spacing w:line="600" w:lineRule="exact"/>
        <w:ind w:firstLine="643" w:firstLineChars="200"/>
        <w:rPr>
          <w:rFonts w:eastAsia="仿宋_GB2312"/>
          <w:b/>
          <w:bCs/>
          <w:sz w:val="32"/>
          <w:szCs w:val="32"/>
        </w:rPr>
      </w:pPr>
      <w:r>
        <w:rPr>
          <w:rFonts w:eastAsia="楷体_GB2312"/>
          <w:b/>
          <w:bCs/>
          <w:sz w:val="32"/>
          <w:szCs w:val="32"/>
        </w:rPr>
        <w:t>区域协作实现新提升</w:t>
      </w:r>
      <w:r>
        <w:rPr>
          <w:rFonts w:eastAsia="仿宋_GB2312"/>
          <w:b/>
          <w:bCs/>
          <w:sz w:val="32"/>
          <w:szCs w:val="32"/>
        </w:rPr>
        <w:t>。</w:t>
      </w:r>
      <w:r>
        <w:rPr>
          <w:rFonts w:eastAsia="仿宋_GB2312"/>
          <w:bCs/>
          <w:sz w:val="32"/>
          <w:szCs w:val="32"/>
        </w:rPr>
        <w:t>阳城与中原交通互联互通水平显著上升，融通交流日益密切，能源、化工、先进制造等优势产业集约集聚发展，产业协作配套和创新协同更加深入，各类要素的流动更加畅通，阳城在周边区域以及中原城市群的影响力、辐射面明显扩大。</w:t>
      </w:r>
    </w:p>
    <w:p>
      <w:pPr>
        <w:widowControl/>
        <w:spacing w:line="600" w:lineRule="exact"/>
        <w:ind w:firstLine="643" w:firstLineChars="200"/>
        <w:rPr>
          <w:rFonts w:eastAsia="仿宋_GB2312"/>
          <w:b/>
          <w:bCs/>
          <w:sz w:val="32"/>
          <w:szCs w:val="32"/>
        </w:rPr>
      </w:pPr>
      <w:r>
        <w:rPr>
          <w:rFonts w:eastAsia="楷体_GB2312"/>
          <w:b/>
          <w:bCs/>
          <w:sz w:val="32"/>
          <w:szCs w:val="32"/>
        </w:rPr>
        <w:t>开放发展取得新成效</w:t>
      </w:r>
      <w:r>
        <w:rPr>
          <w:rFonts w:eastAsia="仿宋_GB2312"/>
          <w:b/>
          <w:bCs/>
          <w:sz w:val="32"/>
          <w:szCs w:val="32"/>
        </w:rPr>
        <w:t>。</w:t>
      </w:r>
      <w:r>
        <w:rPr>
          <w:rFonts w:eastAsia="仿宋_GB2312"/>
          <w:bCs/>
          <w:sz w:val="32"/>
          <w:szCs w:val="32"/>
        </w:rPr>
        <w:t>与中原城市群区域合作机制进一步完善，一体化发展格局日益成熟，融入新发展格局取得明显效果。营商环境显著提升，开放型经济规模和质量明显提升。</w:t>
      </w:r>
    </w:p>
    <w:p>
      <w:pPr>
        <w:widowControl/>
        <w:spacing w:line="600" w:lineRule="exact"/>
        <w:ind w:firstLine="643" w:firstLineChars="200"/>
        <w:rPr>
          <w:rFonts w:eastAsia="仿宋_GB2312"/>
          <w:bCs/>
          <w:sz w:val="32"/>
          <w:szCs w:val="32"/>
        </w:rPr>
      </w:pPr>
      <w:r>
        <w:rPr>
          <w:rFonts w:eastAsia="楷体_GB2312"/>
          <w:b/>
          <w:bCs/>
          <w:sz w:val="32"/>
          <w:szCs w:val="32"/>
        </w:rPr>
        <w:t>公共服务实现新突破</w:t>
      </w:r>
      <w:r>
        <w:rPr>
          <w:rFonts w:eastAsia="仿宋_GB2312"/>
          <w:b/>
          <w:bCs/>
          <w:sz w:val="32"/>
          <w:szCs w:val="32"/>
        </w:rPr>
        <w:t>。</w:t>
      </w:r>
      <w:r>
        <w:rPr>
          <w:rFonts w:eastAsia="仿宋_GB2312"/>
          <w:bCs/>
          <w:sz w:val="32"/>
          <w:szCs w:val="32"/>
        </w:rPr>
        <w:t>就业、教育、医疗、社保等基本公共服务体系更加健全，居民生活品质明显提升，与中原城市群中心城市的发展差距明显缩小，对人口、产业和发展要素的聚集能力更强。</w:t>
      </w:r>
    </w:p>
    <w:p>
      <w:pPr>
        <w:widowControl/>
        <w:spacing w:line="600" w:lineRule="exact"/>
        <w:ind w:firstLine="640" w:firstLineChars="200"/>
        <w:rPr>
          <w:rFonts w:eastAsia="仿宋_GB2312"/>
          <w:bCs/>
          <w:sz w:val="32"/>
          <w:szCs w:val="32"/>
        </w:rPr>
      </w:pPr>
      <w:r>
        <w:rPr>
          <w:rFonts w:eastAsia="仿宋_GB2312"/>
          <w:bCs/>
          <w:sz w:val="32"/>
          <w:szCs w:val="32"/>
        </w:rPr>
        <w:br w:type="page"/>
      </w:r>
    </w:p>
    <w:p>
      <w:pPr>
        <w:widowControl/>
        <w:spacing w:line="600" w:lineRule="exact"/>
        <w:jc w:val="center"/>
        <w:outlineLvl w:val="0"/>
        <w:rPr>
          <w:rFonts w:eastAsia="方正小标宋简体"/>
          <w:bCs/>
          <w:sz w:val="32"/>
          <w:szCs w:val="32"/>
        </w:rPr>
      </w:pPr>
      <w:bookmarkStart w:id="15" w:name="_Toc90809331"/>
      <w:r>
        <w:rPr>
          <w:rFonts w:eastAsia="方正小标宋简体"/>
          <w:bCs/>
          <w:sz w:val="32"/>
          <w:szCs w:val="32"/>
        </w:rPr>
        <w:t>第三章 提升互联互通水平，协同构建现代立体交通体系</w:t>
      </w:r>
      <w:bookmarkEnd w:id="15"/>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围绕“北上”“南下”主导方向和“东融”“西拓”开拓方向，以干线铁路为骨干、高速公路为基础、航空为支撑，打造多向立体、内联外通的“一纵一横”“十”字型综合运输通道。加快建设沁水—阳城—济源纵向综合运输通道，对接中原城市群、山西中部城市群。完善临运—阳城—晋城横向区域综合运输通道，对接“一带一路”经济走廊、京津冀城市群、雄安新区，在强化区域合作中为阳城拓展新的发展空间，形成多方位、宽领域、高水平的全面开放新格局。</w:t>
      </w:r>
    </w:p>
    <w:p>
      <w:pPr>
        <w:widowControl/>
        <w:spacing w:line="600" w:lineRule="exact"/>
        <w:rPr>
          <w:rFonts w:eastAsia="楷体_GB2312"/>
          <w:b/>
          <w:bCs/>
          <w:sz w:val="32"/>
          <w:szCs w:val="32"/>
        </w:rPr>
      </w:pPr>
    </w:p>
    <w:p>
      <w:pPr>
        <w:widowControl/>
        <w:spacing w:line="600" w:lineRule="exact"/>
        <w:jc w:val="center"/>
        <w:outlineLvl w:val="0"/>
        <w:rPr>
          <w:rFonts w:eastAsia="黑体"/>
          <w:bCs/>
          <w:sz w:val="32"/>
          <w:szCs w:val="32"/>
        </w:rPr>
      </w:pPr>
      <w:bookmarkStart w:id="16" w:name="_Toc90809332"/>
      <w:r>
        <w:rPr>
          <w:rFonts w:hint="eastAsia" w:eastAsia="黑体"/>
          <w:bCs/>
          <w:sz w:val="32"/>
          <w:szCs w:val="32"/>
        </w:rPr>
        <w:t xml:space="preserve"> </w:t>
      </w:r>
      <w:r>
        <w:rPr>
          <w:rFonts w:eastAsia="黑体"/>
          <w:bCs/>
          <w:sz w:val="32"/>
          <w:szCs w:val="32"/>
        </w:rPr>
        <w:t xml:space="preserve">   第一节 加快对外通道建设</w:t>
      </w:r>
      <w:bookmarkEnd w:id="16"/>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谋划高铁线路在阳设站</w:t>
      </w:r>
      <w:r>
        <w:rPr>
          <w:rFonts w:eastAsia="仿宋_GB2312"/>
          <w:b/>
          <w:bCs/>
          <w:sz w:val="32"/>
          <w:szCs w:val="32"/>
        </w:rPr>
        <w:t>。</w:t>
      </w:r>
      <w:r>
        <w:rPr>
          <w:rFonts w:hint="eastAsia" w:eastAsia="仿宋_GB2312"/>
          <w:bCs/>
          <w:sz w:val="32"/>
          <w:szCs w:val="32"/>
        </w:rPr>
        <w:t>依托晋城高铁通道建设有利契机，</w:t>
      </w:r>
      <w:r>
        <w:rPr>
          <w:rFonts w:eastAsia="仿宋_GB2312"/>
          <w:bCs/>
          <w:sz w:val="32"/>
          <w:szCs w:val="32"/>
        </w:rPr>
        <w:t>按照“十”字型综合运输通道的布局，谋划晋城至侯马高铁在阳设站，向西连接西韩城际、向东可延伸连接京广、济青高铁，形成晋南至华北、华东地区的便捷客运通道以及陕西至华北地区的辅助通道。依托焦洛济城际铁路的建设，积极谋划阳济城际铁路建设项目，使阳城成为洛阳北上连接山西两大高铁动脉的节点。</w:t>
      </w:r>
    </w:p>
    <w:p>
      <w:pPr>
        <w:widowControl/>
        <w:spacing w:line="600" w:lineRule="exact"/>
        <w:ind w:firstLine="643" w:firstLineChars="200"/>
        <w:rPr>
          <w:rFonts w:eastAsia="仿宋_GB2312"/>
          <w:bCs/>
          <w:sz w:val="32"/>
          <w:szCs w:val="32"/>
        </w:rPr>
      </w:pPr>
      <w:r>
        <w:rPr>
          <w:rFonts w:eastAsia="楷体_GB2312"/>
          <w:b/>
          <w:bCs/>
          <w:sz w:val="32"/>
          <w:szCs w:val="32"/>
        </w:rPr>
        <w:t>提升公路干道通达能力</w:t>
      </w:r>
      <w:r>
        <w:rPr>
          <w:rFonts w:eastAsia="仿宋_GB2312"/>
          <w:bCs/>
          <w:sz w:val="32"/>
          <w:szCs w:val="32"/>
        </w:rPr>
        <w:t>。</w:t>
      </w:r>
      <w:r>
        <w:rPr>
          <w:rFonts w:hint="eastAsia" w:eastAsia="仿宋_GB2312"/>
          <w:bCs/>
          <w:sz w:val="32"/>
          <w:szCs w:val="32"/>
        </w:rPr>
        <w:t>立足</w:t>
      </w:r>
      <w:r>
        <w:rPr>
          <w:rFonts w:hint="eastAsia" w:ascii="仿宋_GB2312" w:eastAsia="仿宋_GB2312"/>
          <w:sz w:val="32"/>
          <w:szCs w:val="32"/>
        </w:rPr>
        <w:t>打造“快进快出、大进大出”快速通道系统，</w:t>
      </w:r>
      <w:r>
        <w:rPr>
          <w:rFonts w:eastAsia="仿宋_GB2312"/>
          <w:bCs/>
          <w:sz w:val="32"/>
          <w:szCs w:val="32"/>
        </w:rPr>
        <w:t>完善对外高速公路网络，形成纵贯南北、承东启西、覆盖全县、四通八达的高速公路网络，加快推进晋阳高速公路改扩建工程，力争早日实现通车；推动阳城至阳运（永济）高速公路建设进程，与阳济、安阳高速形成县域“一环四射”高速网，实现环城高速互联互通。加快县乡公路升级改造，依托现有公路网络加快形成多个区域公路网，强化与中原城市群、山西中部城市群等城市群间的联系，实现国省道公路联网，提升县城之间的快速通达能力。在原有“一横一纵”2 条国省道的基础上，规划新增4条省道（S233阳城至杜甲、S372阳城至古城、S367高平至南唐、S534阳城至蟒河），形成“一中心，八节点”的国省道路网格局。</w:t>
      </w:r>
    </w:p>
    <w:p>
      <w:pPr>
        <w:widowControl/>
        <w:spacing w:line="600" w:lineRule="exact"/>
        <w:ind w:firstLine="643" w:firstLineChars="200"/>
        <w:rPr>
          <w:rFonts w:eastAsia="仿宋_GB2312"/>
          <w:bCs/>
          <w:sz w:val="32"/>
          <w:szCs w:val="32"/>
        </w:rPr>
      </w:pPr>
      <w:r>
        <w:rPr>
          <w:rFonts w:eastAsia="楷体_GB2312"/>
          <w:b/>
          <w:bCs/>
          <w:sz w:val="32"/>
          <w:szCs w:val="32"/>
        </w:rPr>
        <w:t>畅通对外连接旅游通道</w:t>
      </w:r>
      <w:r>
        <w:rPr>
          <w:rFonts w:eastAsia="仿宋_GB2312"/>
          <w:bCs/>
          <w:sz w:val="32"/>
          <w:szCs w:val="32"/>
        </w:rPr>
        <w:t>。配合完成湘峪三都古城—皇城相府旅游公路建设，全面建成太行一号国家风景道主线工程及五大配套系统，并在此基础上启动实施支线一泥河至黑龙背、支线二横河至次滩建设；研究沿沁河旅游公路（润城至东冶）建设方案，形成太行一号旅游带、沿沁河旅游带和生态绿道工程，推动“快旅慢游”的旅游公路网络与中原城市群旅游环线建设相衔接。</w:t>
      </w:r>
    </w:p>
    <w:p>
      <w:pPr>
        <w:widowControl/>
        <w:spacing w:line="600" w:lineRule="exact"/>
        <w:ind w:firstLine="643" w:firstLineChars="200"/>
        <w:rPr>
          <w:rFonts w:eastAsia="仿宋_GB2312"/>
          <w:bCs/>
          <w:sz w:val="32"/>
          <w:szCs w:val="32"/>
        </w:rPr>
      </w:pPr>
      <w:r>
        <w:rPr>
          <w:rFonts w:eastAsia="楷体_GB2312"/>
          <w:b/>
          <w:bCs/>
          <w:sz w:val="32"/>
          <w:szCs w:val="32"/>
        </w:rPr>
        <w:t>加快阳城通用机场建设</w:t>
      </w:r>
      <w:r>
        <w:rPr>
          <w:rFonts w:eastAsia="仿宋_GB2312"/>
          <w:bCs/>
          <w:sz w:val="32"/>
          <w:szCs w:val="32"/>
        </w:rPr>
        <w:t>。填补阳城县航空领域空白，完善低空旅游服务功能。积极开展旅游观光，飞行培训，农村飞播飞防、应急救援等通航业务。</w:t>
      </w:r>
    </w:p>
    <w:p>
      <w:pPr>
        <w:widowControl/>
        <w:spacing w:line="600" w:lineRule="exact"/>
        <w:ind w:firstLine="640" w:firstLineChars="200"/>
        <w:rPr>
          <w:rFonts w:eastAsia="仿宋_GB2312"/>
          <w:bCs/>
          <w:sz w:val="32"/>
          <w:szCs w:val="32"/>
        </w:rPr>
      </w:pPr>
    </w:p>
    <w:p>
      <w:pPr>
        <w:widowControl/>
        <w:spacing w:line="600" w:lineRule="exact"/>
        <w:jc w:val="center"/>
        <w:outlineLvl w:val="0"/>
        <w:rPr>
          <w:rFonts w:eastAsia="黑体"/>
          <w:bCs/>
          <w:sz w:val="32"/>
          <w:szCs w:val="32"/>
        </w:rPr>
      </w:pPr>
      <w:bookmarkStart w:id="17" w:name="_Toc90809333"/>
      <w:r>
        <w:rPr>
          <w:rFonts w:hint="eastAsia" w:eastAsia="黑体"/>
          <w:bCs/>
          <w:sz w:val="32"/>
          <w:szCs w:val="32"/>
        </w:rPr>
        <w:t xml:space="preserve"> </w:t>
      </w:r>
      <w:r>
        <w:rPr>
          <w:rFonts w:eastAsia="黑体"/>
          <w:bCs/>
          <w:sz w:val="32"/>
          <w:szCs w:val="32"/>
        </w:rPr>
        <w:t xml:space="preserve">   第二节 加强综合交通管理和协作</w:t>
      </w:r>
      <w:bookmarkEnd w:id="17"/>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加强部门合作</w:t>
      </w:r>
      <w:r>
        <w:rPr>
          <w:rFonts w:eastAsia="仿宋_GB2312"/>
          <w:bCs/>
          <w:sz w:val="32"/>
          <w:szCs w:val="32"/>
        </w:rPr>
        <w:t>。</w:t>
      </w:r>
      <w:r>
        <w:rPr>
          <w:rFonts w:hint="eastAsia" w:eastAsia="仿宋_GB2312"/>
          <w:bCs/>
          <w:sz w:val="32"/>
          <w:szCs w:val="32"/>
        </w:rPr>
        <w:t>加大财政对城市公共交通、城乡配送体系和物流基础设施的扶持力度，明确政府各部门在交通综合协调、物流通道建设、项目投资推进等方面的职责。共同提升物流运输组织效率，联合加强“公转铁”的政策引导，建设区域道路运输管理平台、公共物流信息平台，推进运输管理数据互通共享。积极加强与周边城市在综合交通管理和执法上的合作，统一交通综合执法和管理标准，维护区域内交通运输市场秩序，促进区域客货运企业的公平竞争</w:t>
      </w:r>
      <w:r>
        <w:rPr>
          <w:rFonts w:eastAsia="仿宋_GB2312"/>
          <w:bCs/>
          <w:sz w:val="32"/>
          <w:szCs w:val="32"/>
        </w:rPr>
        <w:t>。</w:t>
      </w:r>
    </w:p>
    <w:p>
      <w:pPr>
        <w:widowControl/>
        <w:spacing w:line="600" w:lineRule="exact"/>
        <w:ind w:firstLine="643" w:firstLineChars="200"/>
        <w:rPr>
          <w:rFonts w:eastAsia="仿宋_GB2312"/>
          <w:bCs/>
          <w:sz w:val="32"/>
          <w:szCs w:val="32"/>
        </w:rPr>
      </w:pPr>
      <w:r>
        <w:rPr>
          <w:rFonts w:eastAsia="楷体_GB2312"/>
          <w:b/>
          <w:bCs/>
          <w:sz w:val="32"/>
          <w:szCs w:val="32"/>
        </w:rPr>
        <w:t>推动战略协同</w:t>
      </w:r>
      <w:r>
        <w:rPr>
          <w:rFonts w:eastAsia="仿宋_GB2312"/>
          <w:bCs/>
          <w:sz w:val="32"/>
          <w:szCs w:val="32"/>
        </w:rPr>
        <w:t>。</w:t>
      </w:r>
      <w:r>
        <w:rPr>
          <w:rFonts w:hint="eastAsia" w:eastAsia="仿宋_GB2312"/>
          <w:bCs/>
          <w:sz w:val="32"/>
          <w:szCs w:val="32"/>
        </w:rPr>
        <w:t>根据市委市政府统一部署，积极参与构建区域交通运输合作发展的体制机制，中原城市群交通运输一体化相关规划，以及交通合作发展联席会议，全面加强区域高速公路、国省干线和铁路规划的衔接，统筹规划区域交通运输基础设施建设；积极争取在新一轮规划中成为中原城市群的区域性综合交通枢纽城市，抓住中原城市群对接新丝绸之路经济带的机遇，探索与周边城市开展重大基础设施合作共建</w:t>
      </w:r>
      <w:r>
        <w:rPr>
          <w:rFonts w:eastAsia="仿宋_GB2312"/>
          <w:bCs/>
          <w:sz w:val="32"/>
          <w:szCs w:val="32"/>
        </w:rPr>
        <w:t>。</w:t>
      </w:r>
    </w:p>
    <w:p>
      <w:pPr>
        <w:widowControl/>
        <w:spacing w:line="600" w:lineRule="exact"/>
        <w:ind w:firstLine="640" w:firstLineChars="200"/>
        <w:rPr>
          <w:rFonts w:eastAsia="仿宋_GB2312"/>
          <w:bCs/>
          <w:sz w:val="32"/>
          <w:szCs w:val="32"/>
        </w:rPr>
      </w:pPr>
    </w:p>
    <w:p>
      <w:pPr>
        <w:widowControl/>
        <w:spacing w:line="600" w:lineRule="exact"/>
        <w:jc w:val="center"/>
        <w:outlineLvl w:val="0"/>
        <w:rPr>
          <w:rFonts w:eastAsia="黑体"/>
          <w:bCs/>
          <w:sz w:val="32"/>
          <w:szCs w:val="32"/>
        </w:rPr>
      </w:pPr>
      <w:bookmarkStart w:id="18" w:name="_Toc90809334"/>
      <w:r>
        <w:rPr>
          <w:rFonts w:hint="eastAsia" w:eastAsia="黑体"/>
          <w:bCs/>
          <w:sz w:val="32"/>
          <w:szCs w:val="32"/>
        </w:rPr>
        <w:t xml:space="preserve"> </w:t>
      </w:r>
      <w:r>
        <w:rPr>
          <w:rFonts w:eastAsia="黑体"/>
          <w:bCs/>
          <w:sz w:val="32"/>
          <w:szCs w:val="32"/>
        </w:rPr>
        <w:t xml:space="preserve">   第三节 大力发展多式联运</w:t>
      </w:r>
      <w:bookmarkEnd w:id="18"/>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推动城际客运“一体化”服务</w:t>
      </w:r>
      <w:r>
        <w:rPr>
          <w:rFonts w:eastAsia="仿宋_GB2312"/>
          <w:bCs/>
          <w:sz w:val="32"/>
          <w:szCs w:val="32"/>
        </w:rPr>
        <w:t>。在现有的阳城客运中心1个汽车客运枢纽站场的基础上，重点依托皇城相府高铁站、阳城南高铁 2个铁路客运场站，鼓励公路客运站按照“主动衔接”的思路，积极与铁路、城市公共交通体系对接，规划建设综合客运枢纽，支撑阳城构建一体化的旅客换乘体系。探索开通洛阳至阳城的省际公交专线，节假日实行免费政策，或者可先行开通“晋城—阳城—济源—洛阳”城际公交。推进跨省市联网售票、公交跨市“一卡通”。</w:t>
      </w:r>
    </w:p>
    <w:p>
      <w:pPr>
        <w:widowControl/>
        <w:spacing w:line="600" w:lineRule="exact"/>
        <w:ind w:firstLine="643" w:firstLineChars="200"/>
        <w:rPr>
          <w:rFonts w:eastAsia="仿宋_GB2312"/>
          <w:bCs/>
          <w:sz w:val="32"/>
          <w:szCs w:val="32"/>
        </w:rPr>
      </w:pPr>
      <w:r>
        <w:rPr>
          <w:rFonts w:eastAsia="楷体_GB2312"/>
          <w:b/>
          <w:bCs/>
          <w:sz w:val="32"/>
          <w:szCs w:val="32"/>
        </w:rPr>
        <w:t>提升货物多式联运水平</w:t>
      </w:r>
      <w:r>
        <w:rPr>
          <w:rFonts w:eastAsia="仿宋_GB2312"/>
          <w:bCs/>
          <w:sz w:val="32"/>
          <w:szCs w:val="32"/>
        </w:rPr>
        <w:t>。依托现有的阳城站和阳城客运中心，规划2处货运枢纽—阳城县八甲口物流园区、阳城太行现代产业物流园，</w:t>
      </w:r>
      <w:r>
        <w:rPr>
          <w:rFonts w:eastAsia="仿宋_GB2312"/>
          <w:sz w:val="32"/>
          <w:szCs w:val="32"/>
        </w:rPr>
        <w:t>打造晋东南区域性快件中转分拨中心。</w:t>
      </w:r>
      <w:r>
        <w:rPr>
          <w:rFonts w:eastAsia="仿宋_GB2312"/>
          <w:bCs/>
          <w:sz w:val="32"/>
          <w:szCs w:val="32"/>
        </w:rPr>
        <w:t>适时推进侯月铁路和阳城站提质升级，为晋煤外运提供有力保障。加强高速公路、国省干线、铁路、空港等各类运输方式衔接，加快现代化仓储、多式联运设施建设，规划建设区域性物流枢纽。</w:t>
      </w:r>
    </w:p>
    <w:p>
      <w:pPr>
        <w:widowControl/>
        <w:spacing w:line="600" w:lineRule="exact"/>
        <w:ind w:firstLine="643" w:firstLineChars="200"/>
        <w:rPr>
          <w:rFonts w:eastAsia="仿宋_GB2312"/>
          <w:bCs/>
          <w:sz w:val="32"/>
          <w:szCs w:val="32"/>
        </w:rPr>
      </w:pPr>
      <w:r>
        <w:rPr>
          <w:rFonts w:eastAsia="楷体_GB2312"/>
          <w:b/>
          <w:bCs/>
          <w:sz w:val="32"/>
          <w:szCs w:val="32"/>
        </w:rPr>
        <w:t>提升交通信息化水平</w:t>
      </w:r>
      <w:r>
        <w:rPr>
          <w:rFonts w:eastAsia="仿宋_GB2312"/>
          <w:bCs/>
          <w:sz w:val="32"/>
          <w:szCs w:val="32"/>
        </w:rPr>
        <w:t>。依托发展智慧交通，全面推动铁路、民航、公路、城市道路和公共交通各领域信息化建设，构建交通运输行业发展的信息化支撑体系。</w:t>
      </w:r>
    </w:p>
    <w:p>
      <w:pPr>
        <w:widowControl/>
        <w:spacing w:line="600" w:lineRule="exact"/>
        <w:ind w:firstLine="640" w:firstLineChars="200"/>
        <w:rPr>
          <w:rFonts w:eastAsia="仿宋_GB2312"/>
          <w:bCs/>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jc w:val="center"/>
              <w:rPr>
                <w:rFonts w:eastAsia="仿宋_GB2312"/>
                <w:bCs/>
                <w:szCs w:val="32"/>
              </w:rPr>
            </w:pPr>
            <w:r>
              <w:rPr>
                <w:rFonts w:eastAsia="仿宋_GB2312"/>
                <w:b/>
                <w:sz w:val="28"/>
                <w:szCs w:val="28"/>
              </w:rPr>
              <w:t>专栏1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spacing w:line="400" w:lineRule="exact"/>
              <w:ind w:firstLine="480"/>
              <w:rPr>
                <w:rFonts w:eastAsia="仿宋_GB2312"/>
                <w:sz w:val="24"/>
                <w:szCs w:val="24"/>
              </w:rPr>
            </w:pPr>
            <w:r>
              <w:rPr>
                <w:rFonts w:eastAsia="仿宋_GB2312"/>
                <w:sz w:val="24"/>
                <w:szCs w:val="24"/>
              </w:rPr>
              <w:t>（一）高铁通道建设工程：推动晋城至侯马高铁在阳设站，阳济城际铁路建设项目</w:t>
            </w:r>
          </w:p>
          <w:p>
            <w:pPr>
              <w:spacing w:line="400" w:lineRule="exact"/>
              <w:ind w:firstLine="480"/>
              <w:rPr>
                <w:rFonts w:eastAsia="仿宋_GB2312"/>
                <w:sz w:val="24"/>
                <w:szCs w:val="24"/>
              </w:rPr>
            </w:pPr>
            <w:r>
              <w:rPr>
                <w:rFonts w:eastAsia="仿宋_GB2312"/>
                <w:sz w:val="24"/>
                <w:szCs w:val="24"/>
              </w:rPr>
              <w:t>（二）区域高速公路建设工程：晋阳八车道段改扩建工程，阳城至阳运（永济）高速公路建设，新增4条省道（S233阳城至杜甲、S372阳城至古城、S367高平至南唐、S534阳城至蟒河）。</w:t>
            </w:r>
          </w:p>
          <w:p>
            <w:pPr>
              <w:spacing w:line="400" w:lineRule="exact"/>
              <w:ind w:firstLine="480"/>
              <w:rPr>
                <w:rFonts w:eastAsia="仿宋_GB2312"/>
                <w:sz w:val="24"/>
                <w:szCs w:val="24"/>
              </w:rPr>
            </w:pPr>
            <w:r>
              <w:rPr>
                <w:rFonts w:eastAsia="仿宋_GB2312"/>
                <w:sz w:val="24"/>
                <w:szCs w:val="24"/>
              </w:rPr>
              <w:t>（三）机场建设工程：推进通用机场建设</w:t>
            </w:r>
          </w:p>
          <w:p>
            <w:pPr>
              <w:spacing w:line="400" w:lineRule="exact"/>
              <w:ind w:firstLine="480"/>
              <w:rPr>
                <w:rFonts w:eastAsia="仿宋_GB2312"/>
                <w:sz w:val="24"/>
                <w:szCs w:val="24"/>
              </w:rPr>
            </w:pPr>
            <w:r>
              <w:rPr>
                <w:rFonts w:eastAsia="仿宋_GB2312"/>
                <w:sz w:val="24"/>
                <w:szCs w:val="24"/>
              </w:rPr>
              <w:t>（四）运货通道建设工程：规划2处货运枢纽—阳城县八甲口物流园区、阳城太行现代产业物流园，推进侯月铁路和阳城站提质升级。</w:t>
            </w:r>
          </w:p>
          <w:p>
            <w:pPr>
              <w:spacing w:line="400" w:lineRule="exact"/>
              <w:ind w:firstLine="480"/>
              <w:rPr>
                <w:rFonts w:eastAsia="仿宋_GB2312"/>
                <w:sz w:val="24"/>
                <w:szCs w:val="24"/>
              </w:rPr>
            </w:pPr>
            <w:r>
              <w:rPr>
                <w:rFonts w:eastAsia="仿宋_GB2312"/>
                <w:sz w:val="24"/>
                <w:szCs w:val="24"/>
              </w:rPr>
              <w:t>（五）旅游交通建设工程：配合加快湘峪三都古城—皇城相府旅游公路建设，建成太行一号国家风景道主线工程及五大配套系统，谋划沿沁河旅游公路（润城至东冶）建设，推动“快旅慢游”的旅游公路网络与中原城市群旅游环线建设相衔接</w:t>
            </w:r>
          </w:p>
        </w:tc>
      </w:tr>
    </w:tbl>
    <w:p>
      <w:pPr>
        <w:widowControl/>
        <w:spacing w:line="600" w:lineRule="exact"/>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br w:type="page"/>
      </w:r>
    </w:p>
    <w:p>
      <w:pPr>
        <w:widowControl/>
        <w:spacing w:line="600" w:lineRule="exact"/>
        <w:jc w:val="center"/>
        <w:outlineLvl w:val="0"/>
        <w:rPr>
          <w:rFonts w:eastAsia="方正小标宋简体"/>
          <w:bCs/>
          <w:sz w:val="32"/>
          <w:szCs w:val="32"/>
        </w:rPr>
      </w:pPr>
      <w:bookmarkStart w:id="19" w:name="_Toc90809335"/>
      <w:r>
        <w:rPr>
          <w:rFonts w:eastAsia="方正小标宋简体"/>
          <w:bCs/>
          <w:sz w:val="32"/>
          <w:szCs w:val="32"/>
        </w:rPr>
        <w:t>第四章 构筑科技创新平台，融入跨区域发展创新共同体</w:t>
      </w:r>
      <w:bookmarkEnd w:id="19"/>
    </w:p>
    <w:p>
      <w:pPr>
        <w:widowControl/>
        <w:spacing w:line="600" w:lineRule="exact"/>
        <w:rPr>
          <w:rFonts w:eastAsia="黑体"/>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深度接轨郑洛新自主创新示范区、郑开科创走廊、中原科技城、太原经济圈创新资源，积极参与中原城市群主要城市创新合作和科技交流，强化产业链与创新链联动，塑造区域发展新优势。</w:t>
      </w:r>
    </w:p>
    <w:p>
      <w:pPr>
        <w:widowControl/>
        <w:spacing w:line="600" w:lineRule="exact"/>
        <w:rPr>
          <w:rFonts w:eastAsia="楷体_GB2312"/>
          <w:b/>
          <w:bCs/>
          <w:sz w:val="32"/>
          <w:szCs w:val="32"/>
        </w:rPr>
      </w:pPr>
    </w:p>
    <w:p>
      <w:pPr>
        <w:widowControl/>
        <w:spacing w:line="600" w:lineRule="exact"/>
        <w:jc w:val="center"/>
        <w:outlineLvl w:val="1"/>
        <w:rPr>
          <w:rFonts w:eastAsia="黑体"/>
          <w:bCs/>
          <w:sz w:val="32"/>
          <w:szCs w:val="32"/>
        </w:rPr>
      </w:pPr>
      <w:bookmarkStart w:id="20" w:name="_Toc90809336"/>
      <w:r>
        <w:rPr>
          <w:rFonts w:eastAsia="黑体"/>
          <w:bCs/>
          <w:sz w:val="32"/>
          <w:szCs w:val="32"/>
        </w:rPr>
        <w:t>第一节 加快科技创新平台发展</w:t>
      </w:r>
      <w:bookmarkEnd w:id="20"/>
    </w:p>
    <w:p>
      <w:pPr>
        <w:widowControl/>
        <w:spacing w:line="600" w:lineRule="exact"/>
        <w:ind w:firstLine="640" w:firstLineChars="200"/>
        <w:rPr>
          <w:rFonts w:eastAsia="仿宋_GB2312"/>
          <w:bCs/>
          <w:sz w:val="32"/>
          <w:szCs w:val="32"/>
        </w:rPr>
      </w:pPr>
      <w:r>
        <w:rPr>
          <w:rFonts w:hint="eastAsia" w:eastAsia="仿宋_GB2312"/>
          <w:bCs/>
          <w:sz w:val="32"/>
          <w:szCs w:val="32"/>
        </w:rPr>
        <w:t>借助县校合作“十二大基地”建设，</w:t>
      </w:r>
      <w:r>
        <w:rPr>
          <w:rFonts w:eastAsia="仿宋_GB2312"/>
          <w:bCs/>
          <w:sz w:val="32"/>
          <w:szCs w:val="32"/>
        </w:rPr>
        <w:t>加快科技孵化器、众创空间、星创天地建设，打造“双创”升级版，布局建设县级“智创城”，建立起苗圃、孵化、加速的创业公司梯度培育体系，引入国内一流双创运营团队，吸引领军企业、龙头企业等高端双创资源向“智创城”集聚。积极对接高校和国家或省级重点实验室、工程（技术）研究中心，争取来阳设立分支机构。积极推进与煤炭绿色开采及煤层气综合利用研究院、阳城方圆陶瓷琉璃研发中心、阳城古窑珐华琉璃艺术研究院、中国科学院深圳先进技术研究院山西瑞亚力阳城科技产业园生物技术联合实验室等研究平台</w:t>
      </w:r>
      <w:r>
        <w:rPr>
          <w:rFonts w:hint="eastAsia" w:eastAsia="仿宋_GB2312"/>
          <w:bCs/>
          <w:sz w:val="32"/>
          <w:szCs w:val="32"/>
        </w:rPr>
        <w:t>合作</w:t>
      </w:r>
      <w:r>
        <w:rPr>
          <w:rFonts w:eastAsia="仿宋_GB2312"/>
          <w:bCs/>
          <w:sz w:val="32"/>
          <w:szCs w:val="32"/>
        </w:rPr>
        <w:t>，</w:t>
      </w:r>
      <w:r>
        <w:rPr>
          <w:rFonts w:hint="eastAsia" w:eastAsia="仿宋_GB2312"/>
          <w:bCs/>
          <w:sz w:val="32"/>
          <w:szCs w:val="32"/>
        </w:rPr>
        <w:t>充分发挥省社科院能源经济、转型发展、对外开放等研究所的“外脑”作用，</w:t>
      </w:r>
      <w:r>
        <w:rPr>
          <w:rFonts w:eastAsia="仿宋_GB2312"/>
          <w:bCs/>
          <w:sz w:val="32"/>
          <w:szCs w:val="32"/>
        </w:rPr>
        <w:t>为创新合作提供重要载体和产学研支撑。</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21" w:name="_Toc90809337"/>
      <w:r>
        <w:rPr>
          <w:rFonts w:eastAsia="黑体"/>
          <w:bCs/>
          <w:sz w:val="32"/>
          <w:szCs w:val="32"/>
        </w:rPr>
        <w:t>第二节 打造一流创新创业环境</w:t>
      </w:r>
      <w:bookmarkEnd w:id="21"/>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实施中小企业成长工程</w:t>
      </w:r>
      <w:r>
        <w:rPr>
          <w:rFonts w:eastAsia="仿宋_GB2312"/>
          <w:bCs/>
          <w:sz w:val="32"/>
          <w:szCs w:val="32"/>
        </w:rPr>
        <w:t>。加大“小升规”企业培育力度，促进中小微民营企业上档升级。鼓励支持规上企业开展研发活动，建设研发中心，保持研发机构全覆盖。引导中小企业通过与高校、科研院所、大企业携手合作或配套协作，积极组建小型研发机构，开展研发活动，完成“从无到有”的突破。推进高新技术企业倍增计划，加快建设高新技术企业培育库。培育“专精特新”企业，推进“小升规、规改股、股上市”，培育更多“小巨人”和“单项冠军”。支持阳泰集团、皇城相府集团引进战略投资，实现阳城本土企业上市零的突破。</w:t>
      </w:r>
    </w:p>
    <w:p>
      <w:pPr>
        <w:widowControl/>
        <w:spacing w:line="600" w:lineRule="exact"/>
        <w:ind w:firstLine="643" w:firstLineChars="200"/>
        <w:rPr>
          <w:rFonts w:eastAsia="仿宋_GB2312"/>
          <w:bCs/>
          <w:sz w:val="32"/>
          <w:szCs w:val="32"/>
        </w:rPr>
      </w:pPr>
      <w:r>
        <w:rPr>
          <w:rFonts w:eastAsia="楷体_GB2312"/>
          <w:b/>
          <w:bCs/>
          <w:sz w:val="32"/>
          <w:szCs w:val="32"/>
        </w:rPr>
        <w:t>改革科技项目管理机制</w:t>
      </w:r>
      <w:r>
        <w:rPr>
          <w:rFonts w:eastAsia="仿宋_GB2312"/>
          <w:bCs/>
          <w:sz w:val="32"/>
          <w:szCs w:val="32"/>
        </w:rPr>
        <w:t>。在科技计划项目设置、实施管理、“揭榜挂帅”模式、等方面，不断完善相关管理制度，形成决策、执行、监督相互分离，项目立项、过程管理、绩效评估独立运行、相互制约的管理模式。建立以“跟踪服务”替代“项目监管”的科学管理新模式，探索设立科技项目专员全程跟踪服务科研项目，项目专员作为科研项目“首位”责任人，及时了解科研攻关中遇到的困难、及时帮助解决科研团队的难题、及时掌握科研最新进展，加强重大科研项目规划的前期介入、深度跟踪、及时反馈等。探索分阶段投入、全流程竞争的方式，根据项目实施要求、产业技术前沿发展变化以及新的技术方案情况，结合科研项目进展、技术研发关键环节变化，对项目进行动态调整或“刹车”，提升项目研发绩效。</w:t>
      </w:r>
    </w:p>
    <w:p>
      <w:pPr>
        <w:widowControl/>
        <w:spacing w:line="600" w:lineRule="exact"/>
        <w:ind w:firstLine="643" w:firstLineChars="200"/>
        <w:rPr>
          <w:rFonts w:eastAsia="仿宋_GB2312"/>
          <w:bCs/>
          <w:sz w:val="32"/>
          <w:szCs w:val="32"/>
        </w:rPr>
      </w:pPr>
      <w:r>
        <w:rPr>
          <w:rFonts w:eastAsia="楷体_GB2312"/>
          <w:b/>
          <w:bCs/>
          <w:sz w:val="32"/>
          <w:szCs w:val="32"/>
        </w:rPr>
        <w:t>完善技术市场服务体系</w:t>
      </w:r>
      <w:r>
        <w:rPr>
          <w:rFonts w:eastAsia="仿宋_GB2312"/>
          <w:bCs/>
          <w:sz w:val="32"/>
          <w:szCs w:val="32"/>
        </w:rPr>
        <w:t>。主动推进与中原城市技术交易市场的互联互通，提高科研成果就地转化率。实施中小企业知识产权战略推进和专利质量提升工程，强化知识产权保护、管理与服务，更好利用山西科技成果转化和知识产权交易管理服务平台，提高创新主体的知识产权创造与运用能力，培育一批知识产权高质量发展标杆。放开中介市场，推动科技中介组织进驻县政务服务中心，健全技术市场体系。</w:t>
      </w:r>
    </w:p>
    <w:p>
      <w:pPr>
        <w:widowControl/>
        <w:spacing w:line="600" w:lineRule="exact"/>
        <w:ind w:firstLine="643" w:firstLineChars="200"/>
        <w:rPr>
          <w:rFonts w:eastAsia="仿宋_GB2312"/>
          <w:bCs/>
          <w:sz w:val="32"/>
          <w:szCs w:val="32"/>
        </w:rPr>
      </w:pPr>
      <w:r>
        <w:rPr>
          <w:rFonts w:eastAsia="楷体_GB2312"/>
          <w:b/>
          <w:bCs/>
          <w:sz w:val="32"/>
          <w:szCs w:val="32"/>
        </w:rPr>
        <w:t>强化财税金融政策支持</w:t>
      </w:r>
      <w:r>
        <w:rPr>
          <w:rFonts w:eastAsia="仿宋_GB2312"/>
          <w:bCs/>
          <w:sz w:val="32"/>
          <w:szCs w:val="32"/>
        </w:rPr>
        <w:t>。完善风险投资体系和机制，用好省、市两级风险投资政策，积极培育天使投资、私募股权投资、风险投资等早期投资力量，构建科技信贷风险共担机制；强化财政创新投入，设立专项资金支持技术创新，加大对新材料、新产品、新工艺、新技术项目的支持力度，加强对创新平台建设、创新活动开展、创新成果产出的奖励力度，加大对企业研发投入的奖励力度，引导金融业加强创新支持，实施企业全生命周期金融创新覆盖工程，推进重点产业金融服务提质工程，实施创新型领军企业上市工程，支持开展多种形式的股权投资，发展科技金融服务平台，用“真金白银”的政策、“真实可靠”的举措、“真心诚意”的关怀支持创新创业。</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22" w:name="_Toc90809338"/>
      <w:r>
        <w:rPr>
          <w:rFonts w:eastAsia="黑体"/>
          <w:bCs/>
          <w:sz w:val="32"/>
          <w:szCs w:val="32"/>
        </w:rPr>
        <w:t>第三节 积极参与区域协同创新</w:t>
      </w:r>
      <w:bookmarkEnd w:id="22"/>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支持阳城经济技术开发区与郑州、洛阳、新乡、安阳等国家级高新区开展科技合作。支持阳泰集团、皇城相府集团等骨干企业以及国投、国资、文旅、农林投、水投五大平台公司与中原城市的名校名院名所共建高水平的协同创新平台，推动在创业孵化、科技金融、成果转化、技术转让、科技服务业等领域开展深度合作，支持设立产学研创新联盟，围绕煤层气、煤化工、新能源、高端陶瓷、固废利用等领域开展科研合作和技术攻关。鼓励建设一批面向中原地区的科技企业孵化器，为先进技术成果转移转化提供便利条件。充分发挥郑州金融岛、智慧岛、港区资本市场和金融服务功能，合作构建多元化、国际化、跨区域的科技创新投融资体系。大力拓展直接融资渠道，支持阳城企业参加中原地区区域性股权交易市场。推动建立城市群科技创新专家咨询制度，共同开展科技创新重大战略问题研究和决策咨询。</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23" w:name="_Toc90809339"/>
      <w:r>
        <w:rPr>
          <w:rFonts w:eastAsia="黑体"/>
          <w:bCs/>
          <w:sz w:val="32"/>
          <w:szCs w:val="32"/>
        </w:rPr>
        <w:t>第四节 加快集聚创新人才</w:t>
      </w:r>
      <w:bookmarkEnd w:id="23"/>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实施更灵活的人才引进政策</w:t>
      </w:r>
      <w:r>
        <w:rPr>
          <w:rFonts w:eastAsia="仿宋_GB2312"/>
          <w:bCs/>
          <w:sz w:val="32"/>
          <w:szCs w:val="32"/>
        </w:rPr>
        <w:t>。围绕科技和产业重大需求，研究制定“一人一策”“一事一议”人才引进办法，面向京津冀及中原城市群高等院校加强定向引才和人才招聘，精准引进高层次创新人才、领军人才和紧缺人才。建立完善高层次人才联系服务制度，高标准做好人才社区、人才公寓规划建设。完善编制周转池、柔性引才、解决住房入学等有效机制和具体办法，畅通阳城籍人才回归回流渠道，吸引更多海内外人才特别是高端人才到阳城创新创业。坚持不求所有、但求所用，实施柔性用才、项目引才，通过顾问指导、兼职服务、“候鸟式”聘任、项目委托、联合攻关、专题服务等方式，加大院士、博士等高端人才引进力度。依托山西人才共享云平台，利用互联网、大数据技术，突破人才区域性界限，在全国范围内配置使用人才资源，实现全国创新人才“为我所用”。</w:t>
      </w:r>
    </w:p>
    <w:p>
      <w:pPr>
        <w:widowControl/>
        <w:spacing w:line="600" w:lineRule="exact"/>
        <w:ind w:firstLine="643" w:firstLineChars="200"/>
        <w:rPr>
          <w:rFonts w:eastAsia="仿宋_GB2312"/>
          <w:bCs/>
          <w:sz w:val="32"/>
          <w:szCs w:val="32"/>
        </w:rPr>
      </w:pPr>
      <w:r>
        <w:rPr>
          <w:rFonts w:eastAsia="楷体_GB2312"/>
          <w:b/>
          <w:bCs/>
          <w:sz w:val="32"/>
          <w:szCs w:val="32"/>
        </w:rPr>
        <w:t>加强跨区域人才联合培养人才互认</w:t>
      </w:r>
      <w:r>
        <w:rPr>
          <w:rFonts w:eastAsia="仿宋_GB2312"/>
          <w:bCs/>
          <w:sz w:val="32"/>
          <w:szCs w:val="32"/>
        </w:rPr>
        <w:t>。推动两地职业教育校校、校企合作，共建职业教育实训基地，互设劳务办事机构和劳务培训基地，联合培养职业技能人才和紧缺人才，互为产业工人定点招工区域，定向培训、定向输出。推动异地就业技能培训和人才资质互认，在部分专业技术领域探索实行统一的评价标准或开展联合评审，深化专业技术人员职业资格、专业技术职务系列、继续教育学时学分互认，推进人才要素资源自由流动。</w:t>
      </w:r>
    </w:p>
    <w:p>
      <w:pPr>
        <w:widowControl/>
        <w:spacing w:line="600" w:lineRule="exact"/>
        <w:rPr>
          <w:rFonts w:eastAsia="仿宋_GB2312"/>
          <w:bCs/>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jc w:val="center"/>
              <w:rPr>
                <w:rFonts w:eastAsia="仿宋_GB2312"/>
                <w:bCs/>
                <w:sz w:val="28"/>
                <w:szCs w:val="28"/>
              </w:rPr>
            </w:pPr>
            <w:r>
              <w:rPr>
                <w:rFonts w:eastAsia="仿宋_GB2312"/>
                <w:b/>
                <w:kern w:val="0"/>
                <w:sz w:val="28"/>
                <w:szCs w:val="28"/>
              </w:rPr>
              <w:t>专栏2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pStyle w:val="17"/>
              <w:spacing w:line="380" w:lineRule="exact"/>
              <w:ind w:left="480" w:firstLine="0" w:firstLineChars="0"/>
              <w:rPr>
                <w:rFonts w:eastAsia="仿宋_GB2312"/>
                <w:kern w:val="0"/>
                <w:sz w:val="24"/>
                <w:szCs w:val="24"/>
              </w:rPr>
            </w:pPr>
            <w:r>
              <w:rPr>
                <w:rFonts w:eastAsia="仿宋_GB2312"/>
                <w:kern w:val="0"/>
                <w:sz w:val="24"/>
                <w:szCs w:val="24"/>
              </w:rPr>
              <w:t>（一）创新创业平台建设工程</w:t>
            </w:r>
          </w:p>
          <w:p>
            <w:pPr>
              <w:spacing w:line="380" w:lineRule="exact"/>
              <w:ind w:firstLine="480"/>
              <w:rPr>
                <w:rFonts w:eastAsia="仿宋_GB2312"/>
                <w:sz w:val="24"/>
                <w:szCs w:val="24"/>
              </w:rPr>
            </w:pPr>
            <w:r>
              <w:rPr>
                <w:rFonts w:eastAsia="仿宋_GB2312"/>
                <w:sz w:val="24"/>
                <w:szCs w:val="24"/>
              </w:rPr>
              <w:t>加快科技孵化器、众创空间、星创天地建设，打造“双创”升级版，布局建设县级“智创城”。推进与煤炭绿色开采及煤层气综合利用研究院、阳城方圆陶瓷琉璃研发中心、阳城古窑珐华琉璃艺术研究院、中国科学院深圳先进技术研究院山西瑞亚力阳城科技产业园生物技术联合实验室等研究平台建设。</w:t>
            </w:r>
          </w:p>
          <w:p>
            <w:pPr>
              <w:pStyle w:val="17"/>
              <w:spacing w:line="380" w:lineRule="exact"/>
              <w:ind w:left="480" w:firstLine="0" w:firstLineChars="0"/>
              <w:rPr>
                <w:rFonts w:eastAsia="仿宋_GB2312"/>
                <w:kern w:val="0"/>
                <w:sz w:val="24"/>
                <w:szCs w:val="24"/>
              </w:rPr>
            </w:pPr>
            <w:r>
              <w:rPr>
                <w:rFonts w:eastAsia="仿宋_GB2312"/>
                <w:kern w:val="0"/>
                <w:sz w:val="24"/>
                <w:szCs w:val="24"/>
              </w:rPr>
              <w:t>（二）中小企业成长工程</w:t>
            </w:r>
          </w:p>
          <w:p>
            <w:pPr>
              <w:pStyle w:val="17"/>
              <w:spacing w:line="380" w:lineRule="exact"/>
              <w:ind w:firstLine="480"/>
              <w:rPr>
                <w:rFonts w:eastAsia="仿宋_GB2312"/>
                <w:kern w:val="0"/>
                <w:sz w:val="24"/>
                <w:szCs w:val="24"/>
              </w:rPr>
            </w:pPr>
            <w:r>
              <w:rPr>
                <w:rFonts w:eastAsia="仿宋_GB2312"/>
                <w:sz w:val="24"/>
                <w:szCs w:val="24"/>
              </w:rPr>
              <w:t>引导中小企业通过与高校、科研院所、大企业携手合作或配套协作，积极组建小型研发机构。推进高新技术企业倍增计划，加快建设高新技术企业培育库。培育“专精特新”企业，推进“小升规、规改股、股上市”，培育更多“小巨人”和“单项冠军”。</w:t>
            </w:r>
          </w:p>
          <w:p>
            <w:pPr>
              <w:spacing w:line="380" w:lineRule="exact"/>
              <w:ind w:left="482"/>
              <w:rPr>
                <w:rFonts w:eastAsia="仿宋_GB2312"/>
                <w:kern w:val="0"/>
                <w:sz w:val="24"/>
                <w:szCs w:val="24"/>
              </w:rPr>
            </w:pPr>
            <w:r>
              <w:rPr>
                <w:rFonts w:eastAsia="仿宋_GB2312"/>
                <w:kern w:val="0"/>
                <w:sz w:val="24"/>
                <w:szCs w:val="24"/>
              </w:rPr>
              <w:t>（三）区域创新协同工程</w:t>
            </w:r>
          </w:p>
          <w:p>
            <w:pPr>
              <w:spacing w:line="380" w:lineRule="exact"/>
              <w:ind w:firstLine="480"/>
              <w:rPr>
                <w:rFonts w:eastAsia="仿宋_GB2312"/>
                <w:sz w:val="24"/>
                <w:szCs w:val="24"/>
              </w:rPr>
            </w:pPr>
            <w:r>
              <w:rPr>
                <w:rFonts w:eastAsia="仿宋_GB2312"/>
                <w:sz w:val="24"/>
                <w:szCs w:val="24"/>
              </w:rPr>
              <w:t>支持阳泰集团、皇城相府集团等骨干企业以及国投、国资、文旅、农林投、水投五大平台公司与中原城市的名校名院名所共建高水平的协同创新平台，推动在创业孵化、科技金融、成果转化、技术转让、科技服务业等领域开展深度合作，支持设立产学研创新联盟，围绕煤层气、煤化工、新能源、高端陶瓷、固废利用等领域开展科研合作和技术攻关。</w:t>
            </w:r>
          </w:p>
          <w:p>
            <w:pPr>
              <w:spacing w:line="380" w:lineRule="exact"/>
              <w:ind w:firstLine="480"/>
              <w:rPr>
                <w:rFonts w:eastAsia="仿宋_GB2312"/>
                <w:kern w:val="0"/>
                <w:sz w:val="24"/>
                <w:szCs w:val="24"/>
              </w:rPr>
            </w:pPr>
            <w:r>
              <w:rPr>
                <w:rFonts w:eastAsia="仿宋_GB2312"/>
                <w:kern w:val="0"/>
                <w:sz w:val="24"/>
                <w:szCs w:val="24"/>
              </w:rPr>
              <w:t>（四）人才联合培育工程</w:t>
            </w:r>
          </w:p>
          <w:p>
            <w:pPr>
              <w:spacing w:line="380" w:lineRule="exact"/>
              <w:ind w:firstLine="480"/>
              <w:rPr>
                <w:rFonts w:eastAsia="仿宋_GB2312"/>
                <w:sz w:val="24"/>
                <w:szCs w:val="24"/>
              </w:rPr>
            </w:pPr>
            <w:r>
              <w:rPr>
                <w:rFonts w:eastAsia="仿宋_GB2312"/>
                <w:sz w:val="24"/>
                <w:szCs w:val="24"/>
              </w:rPr>
              <w:t>围绕人才综合服务平台共建、人才资格互认、职业教育实训基地建设、定向培训、定向输出等推动区域人才资源开发共享和自由流动。</w:t>
            </w:r>
          </w:p>
        </w:tc>
      </w:tr>
    </w:tbl>
    <w:p>
      <w:pPr>
        <w:widowControl/>
        <w:spacing w:line="600" w:lineRule="exact"/>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br w:type="page"/>
      </w:r>
    </w:p>
    <w:p>
      <w:pPr>
        <w:widowControl/>
        <w:spacing w:line="600" w:lineRule="exact"/>
        <w:jc w:val="center"/>
        <w:outlineLvl w:val="0"/>
        <w:rPr>
          <w:rFonts w:eastAsia="方正小标宋简体"/>
          <w:bCs/>
          <w:sz w:val="32"/>
          <w:szCs w:val="32"/>
        </w:rPr>
      </w:pPr>
      <w:bookmarkStart w:id="24" w:name="_Toc90809340"/>
      <w:r>
        <w:rPr>
          <w:rFonts w:eastAsia="方正小标宋简体"/>
          <w:bCs/>
          <w:sz w:val="32"/>
          <w:szCs w:val="32"/>
        </w:rPr>
        <w:t>第五章 打造产业融合高地，构建跨区域产业协作新体系</w:t>
      </w:r>
      <w:bookmarkEnd w:id="24"/>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以融入洛阳为战略突破，积极承接产业转移，探索跨区域产业合作利益共享机制，共建产业合作平台，全方位融入中原城市群产业体系。</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25" w:name="_Toc90809341"/>
      <w:r>
        <w:rPr>
          <w:rFonts w:eastAsia="黑体"/>
          <w:bCs/>
          <w:sz w:val="32"/>
          <w:szCs w:val="32"/>
        </w:rPr>
        <w:t>第一节 加快农业“特”“优”发展</w:t>
      </w:r>
      <w:bookmarkEnd w:id="25"/>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推进现代农业产业园建设</w:t>
      </w:r>
      <w:r>
        <w:rPr>
          <w:rFonts w:eastAsia="仿宋_GB2312"/>
          <w:bCs/>
          <w:sz w:val="32"/>
          <w:szCs w:val="32"/>
        </w:rPr>
        <w:t>。复制聊城发展现代高效农业先进经验，突出产业化带动、科技化引领、规模化支撑、品牌化提升，发展多种形式适度规模经营，每年扶持20个经营规模在100亩以上的种粮大户、10个经营规模在1000亩以上的农业托管服务组织、5个农业适度规模经营整村推进村。实施家庭农场培育计划，每年创建5个县级示范家庭农场。实施农民专业合作社整县质量提升行动。围绕十大农业“特”“优”产业链，对接省市农产品精深加工产业集群，加强资源整合、政策集成，做精做专做特现代农业产业园。到2025年，新创建生猪、蜂蜜酒等省级现代农业产业园，打造中原城市群内有影响力的山茱萸、谷子等10个市级现代农业产业园。</w:t>
      </w:r>
    </w:p>
    <w:p>
      <w:pPr>
        <w:widowControl/>
        <w:spacing w:line="600" w:lineRule="exact"/>
        <w:ind w:firstLine="643" w:firstLineChars="200"/>
        <w:rPr>
          <w:rFonts w:eastAsia="仿宋_GB2312"/>
          <w:bCs/>
          <w:sz w:val="32"/>
          <w:szCs w:val="32"/>
        </w:rPr>
      </w:pPr>
      <w:r>
        <w:rPr>
          <w:rFonts w:eastAsia="楷体_GB2312"/>
          <w:b/>
          <w:bCs/>
          <w:sz w:val="32"/>
          <w:szCs w:val="32"/>
        </w:rPr>
        <w:t>积极发展都市特色农业</w:t>
      </w:r>
      <w:r>
        <w:rPr>
          <w:rFonts w:eastAsia="仿宋_GB2312"/>
          <w:bCs/>
          <w:sz w:val="32"/>
          <w:szCs w:val="32"/>
        </w:rPr>
        <w:t>。利用黄河两岸丰富的农业资源，发展现代都市农业，建设面向郑州现代化都市圈的“现代生态农业示范区”，重点发展阳城小杂粮、无公害蔬菜、特色林果等特色农业。发展农业观光、农业体验、园艺培训等衍生农业产业，推动一二三产业融合发展。利用南太行山林、药食资源，大力发展健康食品产业。进一步拓展延伸农业产业链，学习借鉴中原地区发展食品行业的经验，发展绿色农产品加工和食品加工，推进特色食品规模化产业化水平。依托阳城绿色农产品、特色种养业基础优势，面向郑州、洛阳等重点城市广大消费群体，着力发展农产品深加工、都市休闲食品生产、快餐消费品生产、城市餐厅半成品加工等，建设“绿色厨房”供应商。</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26" w:name="_Toc90809342"/>
      <w:r>
        <w:rPr>
          <w:rFonts w:eastAsia="黑体"/>
          <w:bCs/>
          <w:sz w:val="32"/>
          <w:szCs w:val="32"/>
        </w:rPr>
        <w:t>第二节 积极谋划制造业链式协作</w:t>
      </w:r>
      <w:bookmarkEnd w:id="26"/>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深化与中原城市群相关企业合作，积累资金、人才、技术，加快煤基资源高端转化和煤层气向化工新材料转化，向现代煤化工产业转型。深度参与晋城与中原城市群内相关煤化工企业、科研院所以及有实力的高校组成的创新联盟，联合攻克无烟块煤的大型气化技术，发展并形成规模化生产煤制油、煤制气、煤制烯烃和煤基甲醇、煤焦化以及煤制乙二醇等精细产品的现代煤化工产业。积极</w:t>
      </w:r>
      <w:r>
        <w:rPr>
          <w:rFonts w:eastAsia="仿宋_GB2312"/>
          <w:sz w:val="32"/>
          <w:szCs w:val="32"/>
        </w:rPr>
        <w:t>与河南科技大学、中国船舶重工集团公司第七二五研究院、汝阳县新材料产业集聚区、新安产业集聚区伊川产业园区等对接合作，推动阳城县新材料和高端装备制造产业园区的建设。与中钢耐火等企业对接，引进节能环保新材料生产线。</w:t>
      </w:r>
      <w:r>
        <w:rPr>
          <w:rFonts w:eastAsia="仿宋_GB2312"/>
          <w:bCs/>
          <w:sz w:val="32"/>
          <w:szCs w:val="32"/>
        </w:rPr>
        <w:t>借助新乡电池及材料产业和郑州新能源汽车产业链条资源，以及共同作为国家新能源汽车推广试点城市契机，在动力电池及新能源汽车产业上寻找细分产业和领域。依托郑州航空港强劲发展优势，借助郑州装备制造业发展雄厚基础，在加快建设阳城通用机场的同时，加快发展航空装备制造业，重点引进培育飞机环境控制、液压操纵、燃油系统等航空设备制造，军用民用无人机及配套设备，通用飞机及配套产品等龙头企业。与中原城市群城市联合建立3D打印、机器人、节能环保制造、智能制造产业联盟。依托“阳纺”品牌品质和郑州服装名城基础，细化产业分工，加强链条企业合作，深化发展化纤、纺织、印染、设计、销售等上下游产业。</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楷体_GB2312"/>
          <w:b/>
          <w:bCs/>
          <w:sz w:val="32"/>
          <w:szCs w:val="32"/>
        </w:rPr>
      </w:pPr>
      <w:bookmarkStart w:id="27" w:name="_Toc90809343"/>
      <w:r>
        <w:rPr>
          <w:rFonts w:eastAsia="黑体"/>
          <w:bCs/>
          <w:sz w:val="32"/>
          <w:szCs w:val="32"/>
        </w:rPr>
        <w:t>第三节 加快推进服务业战略合作</w:t>
      </w:r>
      <w:bookmarkEnd w:id="27"/>
    </w:p>
    <w:p>
      <w:pPr>
        <w:widowControl/>
        <w:spacing w:line="600" w:lineRule="exact"/>
        <w:ind w:firstLine="643" w:firstLineChars="200"/>
        <w:rPr>
          <w:rFonts w:eastAsia="楷体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促进商贸物流业联动发展</w:t>
      </w:r>
      <w:r>
        <w:rPr>
          <w:rFonts w:eastAsia="仿宋_GB2312"/>
          <w:b/>
          <w:bCs/>
          <w:sz w:val="32"/>
          <w:szCs w:val="32"/>
        </w:rPr>
        <w:t>。</w:t>
      </w:r>
      <w:r>
        <w:rPr>
          <w:rFonts w:eastAsia="仿宋_GB2312"/>
          <w:bCs/>
          <w:sz w:val="32"/>
          <w:szCs w:val="32"/>
        </w:rPr>
        <w:t>借助郑州国家级物流枢纽城市建设有利契机，主动联接郑焦晋智慧物流走廊，先期强化与洛阳物流通道的无缝对接，大力引进国内外知名第三方物流企业，布局建设从阳城辐射晋东南一带的跨境电商、快件分拨中心，大力支持发展电子商务服务、第三方支付、仓储物流配送等为支撑的电商物流产业，运用“互联网+运力优化”“互联网+运输协同”等智慧物流模式，优化物流资源配置，提升物流运营效率，实现阳城商贸物流体系逐步与全省、中原城市群、全国物流网络对接。着眼于郑州现代化都市圈商业集聚度和消费活力，在阳城重点发展工业设计、视觉艺术、音乐与表演艺术、文化展演、电影、广播电视、出版、广告、艺术设计、数码娱乐、创意生活、动漫、时尚餐馆酒吧等具有现代元素的时尚产业，引进郑州商业圈新消费一站式购物中心以及主题公园等综合体，培育发展阳城现代文商休闲空间，提升阳城城市品质。</w:t>
      </w:r>
    </w:p>
    <w:p>
      <w:pPr>
        <w:widowControl/>
        <w:spacing w:line="600" w:lineRule="exact"/>
        <w:ind w:firstLine="643" w:firstLineChars="200"/>
        <w:rPr>
          <w:rFonts w:eastAsia="仿宋_GB2312"/>
          <w:bCs/>
          <w:sz w:val="32"/>
          <w:szCs w:val="32"/>
        </w:rPr>
      </w:pPr>
      <w:r>
        <w:rPr>
          <w:rFonts w:eastAsia="楷体_GB2312"/>
          <w:b/>
          <w:bCs/>
          <w:sz w:val="32"/>
          <w:szCs w:val="32"/>
        </w:rPr>
        <w:t>促进大健康产业协同发展</w:t>
      </w:r>
      <w:r>
        <w:rPr>
          <w:rFonts w:eastAsia="仿宋_GB2312"/>
          <w:b/>
          <w:bCs/>
          <w:sz w:val="32"/>
          <w:szCs w:val="32"/>
        </w:rPr>
        <w:t>。</w:t>
      </w:r>
      <w:r>
        <w:rPr>
          <w:rFonts w:eastAsia="仿宋_GB2312"/>
          <w:bCs/>
          <w:sz w:val="32"/>
          <w:szCs w:val="32"/>
        </w:rPr>
        <w:t>发挥阳城丰富的中医药资源及生物制药产业优势，抓住郑州新乡等地打造“中原药谷”的机遇，加快推动生物医药、医疗健康、养生养老、休闲旅游等产业发展。引进中原地区大型综合性医院、特色医疗机构、先进诊疗设备和高级医疗人才，大力发展健康养生、医药医疗旅游业。积极参加国际（亳州）中医药博览会暨全国（亳州）中医药材交易会，努力扩大市场、提高交易额。推进中药材规范化、标准化、规模化种植基地建设，引进</w:t>
      </w:r>
      <w:r>
        <w:rPr>
          <w:rFonts w:eastAsia="仿宋_GB2312"/>
          <w:sz w:val="32"/>
          <w:szCs w:val="32"/>
        </w:rPr>
        <w:t>中药饮片加工、中药材提取物生产、中药保健品、中成药制造企业</w:t>
      </w:r>
      <w:r>
        <w:rPr>
          <w:rFonts w:eastAsia="仿宋_GB2312"/>
          <w:bCs/>
          <w:sz w:val="32"/>
          <w:szCs w:val="32"/>
        </w:rPr>
        <w:t>，构建种植、交易、研发、加工、销售于一体、全产业链发展的中药材产业基地，奠定阳城大健康产业园基础。复制“养生亳州”先进经验，积极发展高端医疗服务、护理康复、中医药医疗保健，打造养心养智古堡康养片区、养身养艺横河康养片区、养情养趣蟒河康养片区，建设“夏养山西”高品质康养产业集聚区。</w:t>
      </w:r>
    </w:p>
    <w:p>
      <w:pPr>
        <w:widowControl/>
        <w:spacing w:line="600" w:lineRule="exact"/>
        <w:ind w:firstLine="643" w:firstLineChars="200"/>
        <w:rPr>
          <w:rFonts w:eastAsia="仿宋_GB2312"/>
          <w:bCs/>
          <w:sz w:val="32"/>
          <w:szCs w:val="32"/>
        </w:rPr>
      </w:pPr>
      <w:r>
        <w:rPr>
          <w:rFonts w:eastAsia="楷体_GB2312"/>
          <w:b/>
          <w:bCs/>
          <w:sz w:val="32"/>
          <w:szCs w:val="32"/>
        </w:rPr>
        <w:t>促进旅游产业联合做强</w:t>
      </w:r>
      <w:r>
        <w:rPr>
          <w:rFonts w:eastAsia="仿宋_GB2312"/>
          <w:b/>
          <w:bCs/>
          <w:sz w:val="32"/>
          <w:szCs w:val="32"/>
        </w:rPr>
        <w:t>。</w:t>
      </w:r>
      <w:r>
        <w:rPr>
          <w:rFonts w:eastAsia="仿宋_GB2312"/>
          <w:bCs/>
          <w:sz w:val="32"/>
          <w:szCs w:val="32"/>
        </w:rPr>
        <w:t>充分发挥“旅游+”“+旅游”优势，构建现代山地旅游产业体系，联合打造南太行—王屋旅游“金线”。主动对接新乡、焦作、济源，建立南太行自然风光旅游产业带；主动对接洛阳、开封等地的旅游资源建立古建古堡旅游产业链，同中原城市优质旅游资源组合旅游线路。统筹规划生态观光、休闲娱乐、避暑度假、艺术创作、研学考察、民俗体验、山地运动、拓展训练、生态疗养、商务会议等功能设施，定向打造中原市民旅居后花园。</w:t>
      </w:r>
    </w:p>
    <w:p>
      <w:pPr>
        <w:widowControl/>
        <w:spacing w:line="600" w:lineRule="exact"/>
        <w:ind w:firstLine="643" w:firstLineChars="200"/>
        <w:rPr>
          <w:rFonts w:eastAsia="仿宋_GB2312"/>
          <w:bCs/>
          <w:sz w:val="32"/>
          <w:szCs w:val="32"/>
        </w:rPr>
      </w:pPr>
      <w:r>
        <w:rPr>
          <w:rFonts w:eastAsia="楷体_GB2312"/>
          <w:b/>
          <w:bCs/>
          <w:sz w:val="32"/>
          <w:szCs w:val="32"/>
        </w:rPr>
        <w:t>加强现代金融领域合作</w:t>
      </w:r>
      <w:r>
        <w:rPr>
          <w:rFonts w:eastAsia="仿宋_GB2312"/>
          <w:bCs/>
          <w:sz w:val="32"/>
          <w:szCs w:val="32"/>
        </w:rPr>
        <w:t>。实施“引金入阳”工程，争取银行、证券、保险、融资租赁等金融服务中介机构在晋阳城创设分支机构或开办业务。协同推进金融创新，加强在普惠金融、产业金融、科技金融等方面的合作，支撑十二大产业发展。发展和利用资本市场，推动建设上市挂牌企业集群和产业集聚集群。积极对接郑州商品交易市场，积极开展能源商品期现结合交易，推动优势产业进军期货市场。</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28" w:name="_Toc90809344"/>
      <w:r>
        <w:rPr>
          <w:rFonts w:eastAsia="黑体"/>
          <w:bCs/>
          <w:sz w:val="32"/>
          <w:szCs w:val="32"/>
        </w:rPr>
        <w:t>第四节 完善产业协同机制</w:t>
      </w:r>
      <w:bookmarkEnd w:id="28"/>
    </w:p>
    <w:p>
      <w:pPr>
        <w:widowControl/>
        <w:spacing w:line="600" w:lineRule="exact"/>
        <w:ind w:firstLine="643" w:firstLineChars="200"/>
        <w:rPr>
          <w:rFonts w:eastAsia="楷体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加强规划引领及规则标准协同</w:t>
      </w:r>
      <w:r>
        <w:rPr>
          <w:rFonts w:eastAsia="仿宋_GB2312"/>
          <w:b/>
          <w:bCs/>
          <w:sz w:val="32"/>
          <w:szCs w:val="32"/>
        </w:rPr>
        <w:t>。</w:t>
      </w:r>
      <w:r>
        <w:rPr>
          <w:rFonts w:eastAsia="仿宋_GB2312"/>
          <w:bCs/>
          <w:sz w:val="32"/>
          <w:szCs w:val="32"/>
        </w:rPr>
        <w:t>积极谋划两个“金三角”建设规划：第一个是建立阳城—洛阳—郑州“大三角”共同发展的格局，快速融入郑汴洛城市工业走廊，以及河南省着力打造的“郑州航空港经济综合实验区”和“郑洛新国家自主创新示范区”；第二个是依托阳济高速、济洛高速、晋阳高速、二广高速建立阳城—晋城—洛阳“小三角”一体化发展格局。阳城通过建立两个“金三角”格局，在更大空间、更广阔市场布局新的产业链，找到新的城市定位，实现高水平融入。发挥商会、协会纽带作用，加强政企沟通、项目对接、信息交流，支持本地行业协会、商会与郑州、洛阳等城市行业协会建立常态化对话机制，主动加入中原地区多式联运企业联盟、“一带一路”城市旅游联盟等行业组织，搭建互联互通的行业信息平台，推动行业标准、规则跨区统一。</w:t>
      </w:r>
    </w:p>
    <w:p>
      <w:pPr>
        <w:widowControl/>
        <w:spacing w:line="600" w:lineRule="exact"/>
        <w:ind w:firstLine="643" w:firstLineChars="200"/>
        <w:rPr>
          <w:rFonts w:eastAsia="仿宋_GB2312"/>
          <w:bCs/>
          <w:sz w:val="32"/>
          <w:szCs w:val="32"/>
        </w:rPr>
      </w:pPr>
      <w:r>
        <w:rPr>
          <w:rFonts w:eastAsia="楷体_GB2312"/>
          <w:b/>
          <w:bCs/>
          <w:sz w:val="32"/>
          <w:szCs w:val="32"/>
        </w:rPr>
        <w:t>探索产业合作利益共享机制</w:t>
      </w:r>
      <w:r>
        <w:rPr>
          <w:rFonts w:eastAsia="仿宋_GB2312"/>
          <w:b/>
          <w:bCs/>
          <w:sz w:val="32"/>
          <w:szCs w:val="32"/>
        </w:rPr>
        <w:t>。</w:t>
      </w:r>
      <w:r>
        <w:rPr>
          <w:rFonts w:eastAsia="仿宋_GB2312"/>
          <w:bCs/>
          <w:sz w:val="32"/>
          <w:szCs w:val="32"/>
        </w:rPr>
        <w:t>围绕装备制造、煤化工等中原城市群优势产业集群领域以及旅游康养、商贸物流等具有密切地缘关系的现代服务业领域，积极促成阳城本土优势企业与中原城市群龙头企业以重大合作项目为依托，探索建立跨区域产业转移、重大基础设施建设、园区合作的成本分担和利益共享机制，互利共赢的税收利益分享机制和征管协调机制，投资、税收等利益争端处理机制等，形成共商共建共赢的一体化合作格局。支持“双向”飞地平台建设，鼓励本土优势企业到郑州、合肥、上海等城市建设科创飞地，支持京津冀地区、长三角、粤港澳大湾区城市到开发区建设飞地孵化平台。</w:t>
      </w:r>
    </w:p>
    <w:p>
      <w:pPr>
        <w:widowControl/>
        <w:spacing w:line="600" w:lineRule="exact"/>
        <w:rPr>
          <w:rFonts w:eastAsia="仿宋_GB2312"/>
          <w:bCs/>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jc w:val="center"/>
              <w:rPr>
                <w:rFonts w:eastAsia="仿宋_GB2312"/>
                <w:b/>
                <w:bCs/>
                <w:sz w:val="28"/>
                <w:szCs w:val="28"/>
              </w:rPr>
            </w:pPr>
            <w:r>
              <w:rPr>
                <w:rFonts w:eastAsia="仿宋_GB2312"/>
                <w:b/>
                <w:bCs/>
                <w:sz w:val="28"/>
                <w:szCs w:val="28"/>
              </w:rPr>
              <w:t>专栏3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spacing w:line="400" w:lineRule="exact"/>
              <w:ind w:firstLine="480"/>
              <w:rPr>
                <w:rFonts w:eastAsia="仿宋_GB2312"/>
                <w:sz w:val="24"/>
                <w:szCs w:val="24"/>
              </w:rPr>
            </w:pPr>
            <w:r>
              <w:rPr>
                <w:rFonts w:eastAsia="仿宋_GB2312"/>
                <w:sz w:val="24"/>
                <w:szCs w:val="24"/>
              </w:rPr>
              <w:t>（一）产业链式协作工程</w:t>
            </w:r>
          </w:p>
          <w:p>
            <w:pPr>
              <w:spacing w:line="400" w:lineRule="exact"/>
              <w:ind w:firstLine="480"/>
              <w:rPr>
                <w:rFonts w:eastAsia="仿宋_GB2312"/>
                <w:sz w:val="24"/>
                <w:szCs w:val="24"/>
              </w:rPr>
            </w:pPr>
            <w:r>
              <w:rPr>
                <w:rFonts w:eastAsia="仿宋_GB2312"/>
                <w:sz w:val="24"/>
                <w:szCs w:val="24"/>
              </w:rPr>
              <w:t>1、煤化工：深度参与晋城与中原城市群内相关煤化工企业、科研院所以及有实力的高校组成的创新联盟，联合攻克无烟块煤的大型气化技术，发展并形成规模化生产煤制油、煤制气、煤制烯烃和煤基甲醇、煤焦化以及煤制乙二醇等精细产品的现代煤化工产业。</w:t>
            </w:r>
          </w:p>
          <w:p>
            <w:pPr>
              <w:spacing w:line="400" w:lineRule="exact"/>
              <w:ind w:firstLine="480"/>
              <w:rPr>
                <w:rFonts w:eastAsia="仿宋_GB2312"/>
                <w:sz w:val="24"/>
                <w:szCs w:val="24"/>
              </w:rPr>
            </w:pPr>
            <w:r>
              <w:rPr>
                <w:rFonts w:eastAsia="仿宋_GB2312"/>
                <w:sz w:val="24"/>
                <w:szCs w:val="24"/>
              </w:rPr>
              <w:t>2.新材料：积极与河南科技大学、中国船舶重工集团公司第七二五研究院、汝阳县新材料产业集聚区、新安产业集聚区伊川产业园区等对接合作，推动阳城县新材料和高端装备制造产业园区的建设。与中钢耐火等企业对接，引进节能环保新材料生产线。</w:t>
            </w:r>
          </w:p>
          <w:p>
            <w:pPr>
              <w:spacing w:line="400" w:lineRule="exact"/>
              <w:ind w:firstLine="480"/>
              <w:rPr>
                <w:rFonts w:eastAsia="仿宋_GB2312"/>
                <w:sz w:val="24"/>
                <w:szCs w:val="24"/>
              </w:rPr>
            </w:pPr>
            <w:r>
              <w:rPr>
                <w:rFonts w:eastAsia="仿宋_GB2312"/>
                <w:sz w:val="24"/>
                <w:szCs w:val="24"/>
              </w:rPr>
              <w:t>3.新能源：借助新乡电池及材料产业和郑州新能源汽车产业链条资源，以及共同作为国家新能源汽车推广试点城市契机，在动力电池及新能源汽车产业上寻找细分产业和领域。</w:t>
            </w:r>
          </w:p>
          <w:p>
            <w:pPr>
              <w:spacing w:line="400" w:lineRule="exact"/>
              <w:ind w:firstLine="480"/>
              <w:rPr>
                <w:rFonts w:eastAsia="仿宋_GB2312"/>
                <w:sz w:val="24"/>
                <w:szCs w:val="24"/>
              </w:rPr>
            </w:pPr>
            <w:r>
              <w:rPr>
                <w:rFonts w:eastAsia="仿宋_GB2312"/>
                <w:sz w:val="24"/>
                <w:szCs w:val="24"/>
              </w:rPr>
              <w:t>4.先进制造业：借助郑州装备制造业发展雄厚基础，在加快建设阳城通用机场的同时，加快发展航空装备制造业，重点引进培育飞机环境控制、液压操纵、燃油系统等航空设备制造，军用民用无人机及配套设备，通用飞机及配套产品等龙头企业。与中原城市群城市联合建立3D打印、机器人、节能环保制造、智能制造产业联盟。</w:t>
            </w:r>
          </w:p>
          <w:p>
            <w:pPr>
              <w:spacing w:line="400" w:lineRule="exact"/>
              <w:ind w:firstLine="480"/>
              <w:rPr>
                <w:rFonts w:eastAsia="仿宋_GB2312"/>
                <w:sz w:val="24"/>
                <w:szCs w:val="24"/>
              </w:rPr>
            </w:pPr>
            <w:r>
              <w:rPr>
                <w:rFonts w:eastAsia="仿宋_GB2312"/>
                <w:sz w:val="24"/>
                <w:szCs w:val="24"/>
              </w:rPr>
              <w:t>5.纺织业：依托“阳纺”品牌品质和郑州服装名城基础，细化产业分工，加强链条企业合作，深化发展化纤、纺织、印染、设计、销售等上下游产业。</w:t>
            </w:r>
          </w:p>
          <w:p>
            <w:pPr>
              <w:spacing w:line="400" w:lineRule="exact"/>
              <w:ind w:firstLine="480"/>
              <w:rPr>
                <w:rFonts w:eastAsia="仿宋_GB2312"/>
                <w:sz w:val="24"/>
                <w:szCs w:val="24"/>
              </w:rPr>
            </w:pPr>
            <w:r>
              <w:rPr>
                <w:rFonts w:eastAsia="仿宋_GB2312"/>
                <w:sz w:val="24"/>
                <w:szCs w:val="24"/>
              </w:rPr>
              <w:t>6、商贸业：引进郑州商业圈新消费一站式购物中心以及主题公园等综合体，培育发展阳城现代文商休闲空间。</w:t>
            </w:r>
          </w:p>
          <w:p>
            <w:pPr>
              <w:spacing w:line="400" w:lineRule="exact"/>
              <w:ind w:firstLine="480"/>
              <w:rPr>
                <w:rFonts w:eastAsia="仿宋_GB2312"/>
                <w:sz w:val="24"/>
                <w:szCs w:val="24"/>
              </w:rPr>
            </w:pPr>
            <w:r>
              <w:rPr>
                <w:rFonts w:eastAsia="仿宋_GB2312"/>
                <w:sz w:val="24"/>
                <w:szCs w:val="24"/>
              </w:rPr>
              <w:t>7.物流业：强化与洛阳物流通道的无缝对接，大力引进国内外知名第三方物流企业，布局建设从阳城辐射晋东南一带的跨境电商、快件分拨中心。</w:t>
            </w:r>
          </w:p>
          <w:p>
            <w:pPr>
              <w:spacing w:line="400" w:lineRule="exact"/>
              <w:ind w:firstLine="480"/>
              <w:rPr>
                <w:rFonts w:eastAsia="仿宋_GB2312"/>
                <w:sz w:val="24"/>
                <w:szCs w:val="24"/>
              </w:rPr>
            </w:pPr>
            <w:r>
              <w:rPr>
                <w:rFonts w:eastAsia="仿宋_GB2312"/>
                <w:sz w:val="24"/>
                <w:szCs w:val="24"/>
              </w:rPr>
              <w:t>8、大健康产业：积极参加国际（亳州）中医药博览会暨全国（亳州）中医药材交易会，引进中药饮片加工、中药材提取物生产、中药保健品、中成药制造企业，构建种植、交易、研发、加工、销售于一体、全产业链发展的中药材产业基地，奠定阳城大健康产业园基础。</w:t>
            </w:r>
          </w:p>
          <w:p>
            <w:pPr>
              <w:spacing w:line="400" w:lineRule="exact"/>
              <w:ind w:firstLine="480"/>
              <w:rPr>
                <w:rFonts w:eastAsia="仿宋_GB2312"/>
                <w:sz w:val="24"/>
                <w:szCs w:val="24"/>
              </w:rPr>
            </w:pPr>
            <w:r>
              <w:rPr>
                <w:rFonts w:eastAsia="仿宋_GB2312"/>
                <w:sz w:val="24"/>
                <w:szCs w:val="24"/>
              </w:rPr>
              <w:t>9.旅游业：对接新乡、焦作、济源，建立南太行自然风光旅游产业带；主动对接洛阳、开封等地的旅游资源建立古建古堡旅游产业链，同中原城市优质旅游资源组合旅游线路，打造中原市民旅居后花园。</w:t>
            </w:r>
          </w:p>
          <w:p>
            <w:pPr>
              <w:spacing w:line="400" w:lineRule="exact"/>
              <w:ind w:firstLine="480"/>
              <w:rPr>
                <w:rFonts w:eastAsia="仿宋_GB2312"/>
                <w:sz w:val="24"/>
                <w:szCs w:val="24"/>
              </w:rPr>
            </w:pPr>
            <w:r>
              <w:rPr>
                <w:rFonts w:eastAsia="仿宋_GB2312"/>
                <w:sz w:val="24"/>
                <w:szCs w:val="24"/>
              </w:rPr>
              <w:t>（二）产业协同合作框架构建工程</w:t>
            </w:r>
          </w:p>
          <w:p>
            <w:pPr>
              <w:spacing w:line="400" w:lineRule="exact"/>
              <w:ind w:firstLine="480"/>
              <w:rPr>
                <w:rFonts w:eastAsia="仿宋_GB2312"/>
                <w:sz w:val="24"/>
                <w:szCs w:val="24"/>
              </w:rPr>
            </w:pPr>
            <w:r>
              <w:rPr>
                <w:rFonts w:eastAsia="仿宋_GB2312"/>
                <w:sz w:val="24"/>
                <w:szCs w:val="24"/>
              </w:rPr>
              <w:t>1、加强规划引领。力推两个“金三角”建设规划编制，参与晋城市搭建旅游和物流行业信息平台建设，在旅游和物流行业标准、规则上与周边城市加强对接。</w:t>
            </w:r>
          </w:p>
          <w:p>
            <w:pPr>
              <w:spacing w:line="400" w:lineRule="exact"/>
              <w:ind w:firstLine="480"/>
              <w:rPr>
                <w:rFonts w:eastAsia="仿宋_GB2312"/>
                <w:sz w:val="24"/>
                <w:szCs w:val="24"/>
              </w:rPr>
            </w:pPr>
            <w:r>
              <w:rPr>
                <w:rFonts w:eastAsia="仿宋_GB2312"/>
                <w:sz w:val="24"/>
                <w:szCs w:val="24"/>
              </w:rPr>
              <w:t>2、加强利益共享。探索建立跨区域产业转移、重大基础设施建设、园区合作的成本分担和利益共享机制，互利共赢的税收利益分享机制和征管协调机制，投资、税收等利益争端处理机制。</w:t>
            </w:r>
          </w:p>
        </w:tc>
      </w:tr>
    </w:tbl>
    <w:p>
      <w:pPr>
        <w:widowControl/>
        <w:spacing w:line="600" w:lineRule="exact"/>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br w:type="page"/>
      </w:r>
    </w:p>
    <w:p>
      <w:pPr>
        <w:widowControl/>
        <w:spacing w:line="600" w:lineRule="exact"/>
        <w:jc w:val="center"/>
        <w:outlineLvl w:val="0"/>
        <w:rPr>
          <w:rFonts w:eastAsia="黑体"/>
          <w:bCs/>
          <w:sz w:val="32"/>
          <w:szCs w:val="32"/>
        </w:rPr>
      </w:pPr>
      <w:bookmarkStart w:id="29" w:name="_Toc90809345"/>
      <w:r>
        <w:rPr>
          <w:rFonts w:eastAsia="黑体"/>
          <w:bCs/>
          <w:sz w:val="32"/>
          <w:szCs w:val="32"/>
        </w:rPr>
        <w:t>第六章 全面提升开放能级，</w:t>
      </w:r>
      <w:bookmarkEnd w:id="29"/>
      <w:r>
        <w:rPr>
          <w:rFonts w:hint="eastAsia" w:eastAsia="黑体"/>
          <w:bCs/>
          <w:sz w:val="32"/>
          <w:szCs w:val="32"/>
        </w:rPr>
        <w:t>打造内陆对外开放新高地桥头堡的前哨阵地</w:t>
      </w:r>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以扩大内需为战略基点，充分发挥阳城</w:t>
      </w:r>
      <w:r>
        <w:rPr>
          <w:rFonts w:hint="eastAsia" w:eastAsia="仿宋_GB2312"/>
          <w:bCs/>
          <w:sz w:val="32"/>
          <w:szCs w:val="32"/>
        </w:rPr>
        <w:t>在能源、产业、教育、康养、生态等方面的综合</w:t>
      </w:r>
      <w:r>
        <w:rPr>
          <w:rFonts w:eastAsia="仿宋_GB2312"/>
          <w:bCs/>
          <w:sz w:val="32"/>
          <w:szCs w:val="32"/>
        </w:rPr>
        <w:t>比较优势，坚持互惠互利、务实合作，寻找结合点，抓住关键点，</w:t>
      </w:r>
      <w:r>
        <w:rPr>
          <w:rFonts w:hint="eastAsia" w:eastAsia="仿宋_GB2312"/>
          <w:bCs/>
          <w:sz w:val="32"/>
          <w:szCs w:val="32"/>
        </w:rPr>
        <w:t>加强和中原城市群的对接和承接，深化和郑州等中原城市群对外开放枢纽的合作，加强和太原都市圈以及周边城市的合作，协同拓展对外经贸投资合作空间，高水平融入“一带一路”建设，加速提升开放平台层级，打造全市内陆对外开放新高地桥头堡的前哨阵地</w:t>
      </w:r>
      <w:r>
        <w:rPr>
          <w:rFonts w:eastAsia="仿宋_GB2312"/>
          <w:bCs/>
          <w:sz w:val="32"/>
          <w:szCs w:val="32"/>
        </w:rPr>
        <w:t>。</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楷体_GB2312"/>
          <w:b/>
          <w:bCs/>
          <w:sz w:val="32"/>
          <w:szCs w:val="32"/>
        </w:rPr>
      </w:pPr>
      <w:bookmarkStart w:id="30" w:name="_Toc90809346"/>
      <w:r>
        <w:rPr>
          <w:rFonts w:eastAsia="黑体"/>
          <w:bCs/>
          <w:sz w:val="32"/>
          <w:szCs w:val="32"/>
        </w:rPr>
        <w:t>第一节 提升开发区平台功能</w:t>
      </w:r>
      <w:bookmarkEnd w:id="30"/>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优化开发区空间格局</w:t>
      </w:r>
      <w:r>
        <w:rPr>
          <w:rFonts w:eastAsia="仿宋_GB2312"/>
          <w:bCs/>
          <w:sz w:val="32"/>
          <w:szCs w:val="32"/>
        </w:rPr>
        <w:t>。在做强现有安阳陶瓷新材料产业园、八甲口循环经济产业园“一区两园”基础上，积极开展调规扩区工作，加快演礼科技产业园和台头现代精细化工产业园入区步伐，推动形成“一区四园”架构，调规后开发区规划面积达到26.16平方公里，总产值达到全县的60％以上。安阳陶瓷新材料产业园打造年产值200亿元的现代陶瓷新材料产业体系；八甲口循环经济产业园打造年产值20亿元的新能源和现代物流产业集群；演礼科技产业园打造50亿元的生物医药和大健康产业集群；台头现代精细化工产业园规划面积打造年产值100亿的特色西医药、蛋氨酸等精细化工产业。</w:t>
      </w:r>
    </w:p>
    <w:p>
      <w:pPr>
        <w:widowControl/>
        <w:spacing w:line="600" w:lineRule="exact"/>
        <w:ind w:firstLine="643" w:firstLineChars="200"/>
        <w:rPr>
          <w:rFonts w:eastAsia="仿宋_GB2312"/>
          <w:bCs/>
          <w:sz w:val="32"/>
          <w:szCs w:val="32"/>
        </w:rPr>
      </w:pPr>
      <w:r>
        <w:rPr>
          <w:rFonts w:eastAsia="楷体_GB2312"/>
          <w:b/>
          <w:bCs/>
          <w:sz w:val="32"/>
          <w:szCs w:val="32"/>
        </w:rPr>
        <w:t>增强开发区承载能力</w:t>
      </w:r>
      <w:r>
        <w:rPr>
          <w:rFonts w:eastAsia="仿宋_GB2312"/>
          <w:bCs/>
          <w:sz w:val="32"/>
          <w:szCs w:val="32"/>
        </w:rPr>
        <w:t>。深化开发区“三化三制”改革，加大开发区“标准地”收储、标准厂房等基础设施建设和生活配套设施建设，积极复制苏州工业园区、合肥高新技术产业开发区、厦门火炬高新技术产业开发区、昆山经济技术开发区等平台先进经验，提升集聚高端人才和科技资源的能力。充分借助郑州等中原城市群核心城市与欧洲、日韩等发达经济体的科技合作网络，探索在煤炭、煤层气、陶瓷等优势领域与先进地区共建科技创新合作中心。加快建筑施工许可、业务准入许可等领域的体制机制创新，推进企业投资项目承诺制、无审批管理等新型管理模式的应用，进一步提高开发区企业新建、改建项目的便利性。</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31" w:name="_Toc90809347"/>
      <w:r>
        <w:rPr>
          <w:rFonts w:eastAsia="黑体"/>
          <w:bCs/>
          <w:sz w:val="32"/>
          <w:szCs w:val="32"/>
        </w:rPr>
        <w:t>第二节 大力开展招商引资</w:t>
      </w:r>
      <w:bookmarkEnd w:id="31"/>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加强产业链招商</w:t>
      </w:r>
      <w:r>
        <w:rPr>
          <w:rFonts w:eastAsia="仿宋_GB2312"/>
          <w:bCs/>
          <w:sz w:val="32"/>
          <w:szCs w:val="32"/>
        </w:rPr>
        <w:t>。复制黄奇帆重庆招商先进经验，按照“垂直整合一体化”方式，在上海、深圳、成都、武汉、重庆、西安等地开展针对性的产业链招商。发挥“洛阳</w:t>
      </w:r>
      <w:r>
        <w:rPr>
          <w:bCs/>
          <w:sz w:val="32"/>
          <w:szCs w:val="32"/>
        </w:rPr>
        <w:t>•</w:t>
      </w:r>
      <w:r>
        <w:rPr>
          <w:rFonts w:eastAsia="仿宋_GB2312"/>
          <w:bCs/>
          <w:sz w:val="32"/>
          <w:szCs w:val="32"/>
        </w:rPr>
        <w:t>阳城会客厅”和在太原、上海等城市的招商合作处，探索构建和洛阳、济源、太原、长冶等周边城市的协同招商机制，共同采取组团招商、上门招商、代理招商、载体招商、展会招商等多种形式，加强对相关地区优质企业的信息收集工作，以煤化工、陶瓷新材料、装备制造、电子信息等产业为重点，积极引进投资强度大、科技含量高、带动能力强的大企业、大项目。加强和京津冀、长三角、粤港澳大湾区等东部发达地区在高端制造业以及商贸、物流、会展、金融等现代服务业领域的合作，重点承接先进制造业转移和外溢。</w:t>
      </w:r>
    </w:p>
    <w:p>
      <w:pPr>
        <w:widowControl/>
        <w:spacing w:line="600" w:lineRule="exact"/>
        <w:ind w:firstLine="643" w:firstLineChars="200"/>
        <w:rPr>
          <w:rFonts w:eastAsia="仿宋_GB2312"/>
          <w:bCs/>
          <w:sz w:val="32"/>
          <w:szCs w:val="32"/>
        </w:rPr>
      </w:pPr>
      <w:r>
        <w:rPr>
          <w:rFonts w:eastAsia="楷体_GB2312"/>
          <w:b/>
          <w:bCs/>
          <w:sz w:val="32"/>
          <w:szCs w:val="32"/>
        </w:rPr>
        <w:t>加强服务业合作</w:t>
      </w:r>
      <w:r>
        <w:rPr>
          <w:rFonts w:eastAsia="仿宋_GB2312"/>
          <w:bCs/>
          <w:sz w:val="32"/>
          <w:szCs w:val="32"/>
        </w:rPr>
        <w:t>。在旅游康养、研发设计、商务会展、信息服务、软件开发、服务外包、教育培训等领域，重点面向大湾区、长三角开放合作。加强和东部沿海地区的合作，积极引进商业综合体、广播影视、电信、商贸、文化、体育和休闲娱乐等服务业。加强和中原城市群核心城市的合作，推动在郑州、洛阳等地的大型跨国公司区域总部在阳城设立区域性研发中心。复制电商赋能县域经济发展的“曹县经验”，围绕煤炭、陶瓷琉璃、农产品等重点产业集群，强化政府引导，积极打造电商运营服务平台，形成电商产业资源合力，打造全国电子商务进农村综合示范县。</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32" w:name="_Toc90809348"/>
      <w:r>
        <w:rPr>
          <w:rFonts w:eastAsia="黑体"/>
          <w:bCs/>
          <w:sz w:val="32"/>
          <w:szCs w:val="32"/>
        </w:rPr>
        <w:t>第三节 积极参与共建“一带一路”</w:t>
      </w:r>
      <w:bookmarkEnd w:id="32"/>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深化和郑州内陆空港型国家物流枢纽的合作，依托中原城市群连接全球主要经济体的空中经济廊道。加强和中欧班列郑州集结中心和国际陆港新节点的合作，深度融入干支结合、枢纽集散的高效运输体系。积极融入以郑州为主枢纽的铁海联运、河海联运网络，加速融入晋浙铁海联运网络，深化与海上丝绸之路沿线国家的经贸合作。积极发挥和郑州等中原城市群跨境电子商务发展高地的合作，利用晋城市和郑州、洛阳等地共享海外仓，加快对接跨境电商相关规则和标准体系，积极扩大跨境电子商务贸易规模，实现更高水平的“买全球、卖全球”。探索和中原城市群核心城市共建境外投资企业便利化服务平台，有效提升招商引资、交流推介等服务水平，形成根植中原、连接国内、拓展国际的服务体系。构建和郑州、洛阳等中原城市群核心城市在海外产业园区建设的合作机制，推动优势企业和郑州、洛阳等地上下游企业以“抱团出海”等形式赴海外产业园区投资，形成内外高效联动、更加安全可靠的新型产业链。建立健全境外产业园区常态化信息报送机制，及时了解掌握各园区进展情况及存在问题并做好监督指导工作。强化入园企业投资备案、风险提示及风险防范等工作，及时化解企业各类经营风险。鼓励阳城龙头企业通过并购、合资、参股等方式，在境外设立能源资源开发加工基地和农产品深加工基地。</w:t>
      </w:r>
      <w:r>
        <w:rPr>
          <w:rFonts w:hint="eastAsia" w:eastAsia="仿宋_GB2312"/>
          <w:bCs/>
          <w:sz w:val="32"/>
          <w:szCs w:val="32"/>
        </w:rPr>
        <w:t>巩固加强与韩国阳城李氏宗亲会在康养、现代服务业等领域合作，打造中韩经贸合作样本。深化与英国艾伟德学校的互动交流，构建常态互访机制，争取与英国恩菲尔德结成友好城市。</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33" w:name="_Toc90809349"/>
      <w:r>
        <w:rPr>
          <w:rFonts w:eastAsia="黑体"/>
          <w:bCs/>
          <w:sz w:val="32"/>
          <w:szCs w:val="32"/>
        </w:rPr>
        <w:t>第四节 打造一流营商环境</w:t>
      </w:r>
      <w:bookmarkEnd w:id="33"/>
    </w:p>
    <w:p>
      <w:pPr>
        <w:widowControl/>
        <w:spacing w:line="600" w:lineRule="exact"/>
        <w:ind w:firstLine="643" w:firstLineChars="200"/>
        <w:rPr>
          <w:rFonts w:eastAsia="仿宋_GB2312"/>
          <w:bCs/>
          <w:sz w:val="32"/>
          <w:szCs w:val="32"/>
        </w:rPr>
      </w:pPr>
      <w:r>
        <w:rPr>
          <w:rFonts w:eastAsia="楷体_GB2312"/>
          <w:b/>
          <w:bCs/>
          <w:sz w:val="32"/>
          <w:szCs w:val="32"/>
        </w:rPr>
        <w:t>营造“六最”营商环境</w:t>
      </w:r>
      <w:r>
        <w:rPr>
          <w:rFonts w:eastAsia="仿宋_GB2312"/>
          <w:bCs/>
          <w:sz w:val="32"/>
          <w:szCs w:val="32"/>
        </w:rPr>
        <w:t>。坚持市场化、法治化、国际化，把握“三无”“三可”要求，把有效市场和有为政府更好结合起来，纵深推进“放管服效”改革，深化“一枚印章管审批”，拓展“一件事”套餐服务、证照分离、“一业一证”、工程建设项目审批等改革。深入推进企业投资项目承诺制改革，以开发区为重点，做好“标准地+承诺制+全代办”工作，实现一般工业项目全承诺、无审批、拿地即可开工”。完善县、乡、村三级政务服务体系，推进政务服务标准化和智慧化，实现“7×24小时不打烊”、一网通办、就近能办、多点可办、少跑快办。推动公共资源交易体制改革，形成竞争有序的市场环境。以“互联网+监管”为牵引，加强事中事后监管。完善简约透明的行业准入规则，消除隐性门槛，达到负面清单之外“零门槛”、收费清单之外“零收费”、对企业服务“零距离”和对侵权行为“零容忍”的“四零”目标，构建“亲”“清”新型政商关系。完善企业信用信息公示制度，加大对守信失信企业联合奖惩力度。加强企业家合法权益保护，依法保护企业家人身安全和财产安全。</w:t>
      </w:r>
    </w:p>
    <w:p>
      <w:pPr>
        <w:widowControl/>
        <w:spacing w:line="600" w:lineRule="exact"/>
        <w:ind w:firstLine="643" w:firstLineChars="200"/>
        <w:rPr>
          <w:rFonts w:eastAsia="仿宋_GB2312"/>
          <w:bCs/>
          <w:sz w:val="32"/>
          <w:szCs w:val="32"/>
        </w:rPr>
      </w:pPr>
      <w:r>
        <w:rPr>
          <w:rFonts w:eastAsia="楷体_GB2312"/>
          <w:b/>
          <w:bCs/>
          <w:sz w:val="32"/>
          <w:szCs w:val="32"/>
        </w:rPr>
        <w:t>优化民企发展环境</w:t>
      </w:r>
      <w:r>
        <w:rPr>
          <w:rFonts w:eastAsia="仿宋_GB2312"/>
          <w:bCs/>
          <w:sz w:val="32"/>
          <w:szCs w:val="32"/>
        </w:rPr>
        <w:t>。复制推广粤港澳大湾区和长三角等发达地区优化营商环境举措，全面取消对不同类型市场主体可能存在的歧视性规则标准，做到一视同仁。全面落实支持民营经济发展政策措施，依法平等保护民营企业产权和企业家权益，完善促进中小微企业和个体工商户发展的法律环境和政策体系。健全民营企业发展促进机制，加大对民营企业科技创新、融资股改、人才培训等支持力度，为中小企业招才引智开辟绿色通道，推动中小企业“个转企、小升规、规改股、股上市”，促进民营企业做大做强。完善领导干部联系帮扶民营企业制度，营造支持企业家健康成长的良好环境。深化和郑州等中原城市群核心城市的合作，提升知识产权服务业发展水平。</w:t>
      </w:r>
    </w:p>
    <w:p>
      <w:pPr>
        <w:widowControl/>
        <w:spacing w:line="600" w:lineRule="exact"/>
        <w:rPr>
          <w:rFonts w:eastAsia="仿宋_GB2312"/>
          <w:bCs/>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jc w:val="center"/>
              <w:rPr>
                <w:rFonts w:eastAsia="仿宋_GB2312"/>
                <w:b/>
                <w:bCs/>
                <w:sz w:val="28"/>
                <w:szCs w:val="28"/>
              </w:rPr>
            </w:pPr>
            <w:r>
              <w:rPr>
                <w:rFonts w:eastAsia="仿宋_GB2312"/>
                <w:b/>
                <w:bCs/>
                <w:sz w:val="28"/>
                <w:szCs w:val="28"/>
              </w:rPr>
              <w:t>专栏4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snapToGrid w:val="0"/>
              <w:spacing w:line="400" w:lineRule="exact"/>
              <w:ind w:firstLine="480"/>
              <w:rPr>
                <w:rFonts w:eastAsia="仿宋_GB2312"/>
                <w:kern w:val="0"/>
                <w:sz w:val="24"/>
                <w:szCs w:val="24"/>
              </w:rPr>
            </w:pPr>
            <w:r>
              <w:rPr>
                <w:rFonts w:eastAsia="仿宋_GB2312"/>
                <w:kern w:val="0"/>
                <w:sz w:val="24"/>
                <w:szCs w:val="24"/>
              </w:rPr>
              <w:t>（一）开发区提升工程</w:t>
            </w:r>
          </w:p>
          <w:p>
            <w:pPr>
              <w:snapToGrid w:val="0"/>
              <w:spacing w:line="400" w:lineRule="exact"/>
              <w:ind w:firstLine="480"/>
              <w:rPr>
                <w:rFonts w:eastAsia="仿宋_GB2312"/>
                <w:kern w:val="0"/>
                <w:sz w:val="24"/>
                <w:szCs w:val="24"/>
              </w:rPr>
            </w:pPr>
            <w:r>
              <w:rPr>
                <w:rFonts w:eastAsia="仿宋_GB2312"/>
                <w:kern w:val="0"/>
                <w:sz w:val="24"/>
                <w:szCs w:val="24"/>
              </w:rPr>
              <w:t>积极开展调规扩区工作，加快演礼科技产业园和台头现代精细化工产业园入区步伐，推动形成“一区四园”架构。复制苏州工业园区、合肥高新技术产业开发区等平台先进经验，提升集聚高端人才和科技资源的能力。</w:t>
            </w:r>
          </w:p>
          <w:p>
            <w:pPr>
              <w:snapToGrid w:val="0"/>
              <w:spacing w:line="400" w:lineRule="exact"/>
              <w:ind w:firstLine="480"/>
              <w:rPr>
                <w:rFonts w:eastAsia="仿宋_GB2312"/>
                <w:kern w:val="0"/>
                <w:sz w:val="24"/>
                <w:szCs w:val="24"/>
              </w:rPr>
            </w:pPr>
            <w:r>
              <w:rPr>
                <w:rFonts w:eastAsia="仿宋_GB2312"/>
                <w:kern w:val="0"/>
                <w:sz w:val="24"/>
                <w:szCs w:val="24"/>
              </w:rPr>
              <w:t>（二）招商引资工程</w:t>
            </w:r>
          </w:p>
          <w:p>
            <w:pPr>
              <w:snapToGrid w:val="0"/>
              <w:spacing w:line="400" w:lineRule="exact"/>
              <w:ind w:firstLine="480"/>
              <w:rPr>
                <w:rFonts w:eastAsia="仿宋_GB2312"/>
                <w:kern w:val="0"/>
                <w:sz w:val="24"/>
                <w:szCs w:val="24"/>
              </w:rPr>
            </w:pPr>
            <w:r>
              <w:rPr>
                <w:rFonts w:eastAsia="仿宋_GB2312"/>
                <w:kern w:val="0"/>
                <w:sz w:val="24"/>
                <w:szCs w:val="24"/>
              </w:rPr>
              <w:t>发挥“洛阳</w:t>
            </w:r>
            <w:r>
              <w:rPr>
                <w:kern w:val="0"/>
                <w:sz w:val="24"/>
                <w:szCs w:val="24"/>
              </w:rPr>
              <w:t>•</w:t>
            </w:r>
            <w:r>
              <w:rPr>
                <w:rFonts w:eastAsia="仿宋_GB2312"/>
                <w:kern w:val="0"/>
                <w:sz w:val="24"/>
                <w:szCs w:val="24"/>
              </w:rPr>
              <w:t>阳城会客厅”和在太原、上海等城市的招商合作处，探索构建和洛阳、济源、太原、长冶等周边城市的协同招商机制，以煤化工、陶瓷新材料、装备制造、电子信息等产业为重点，积极引进投资强度大、科技含量高、带动能力强的大企业、大项目。加强和京津冀、长三角、粤港澳大湾区等东部发达地区在高端制造业以及商贸、物流、会展、金融等现代服务业领域的合作，重点承接先进制造业转移和外溢。</w:t>
            </w:r>
          </w:p>
          <w:p>
            <w:pPr>
              <w:snapToGrid w:val="0"/>
              <w:spacing w:line="400" w:lineRule="exact"/>
              <w:ind w:firstLine="480"/>
              <w:rPr>
                <w:rFonts w:eastAsia="仿宋_GB2312"/>
                <w:kern w:val="0"/>
                <w:sz w:val="24"/>
                <w:szCs w:val="24"/>
              </w:rPr>
            </w:pPr>
            <w:r>
              <w:rPr>
                <w:rFonts w:eastAsia="仿宋_GB2312"/>
                <w:kern w:val="0"/>
                <w:sz w:val="24"/>
                <w:szCs w:val="24"/>
              </w:rPr>
              <w:t>（三）参与共建“一带一路”工程</w:t>
            </w:r>
          </w:p>
          <w:p>
            <w:pPr>
              <w:snapToGrid w:val="0"/>
              <w:spacing w:line="400" w:lineRule="exact"/>
              <w:ind w:firstLine="480"/>
              <w:rPr>
                <w:rFonts w:eastAsia="仿宋_GB2312"/>
                <w:kern w:val="0"/>
                <w:sz w:val="24"/>
                <w:szCs w:val="24"/>
              </w:rPr>
            </w:pPr>
            <w:r>
              <w:rPr>
                <w:rFonts w:eastAsia="仿宋_GB2312"/>
                <w:kern w:val="0"/>
                <w:sz w:val="24"/>
                <w:szCs w:val="24"/>
              </w:rPr>
              <w:t>加快中欧一带一路蓝莓加工产业园项目建设。利用晋城市和郑州、洛阳等地共享海外仓，加快对接跨境电商相关规则和标准体系，扩大跨境电子商务贸易规模，实现更高水平“买全球、卖全球”。</w:t>
            </w:r>
          </w:p>
          <w:p>
            <w:pPr>
              <w:snapToGrid w:val="0"/>
              <w:spacing w:line="400" w:lineRule="exact"/>
              <w:ind w:firstLine="480"/>
              <w:rPr>
                <w:rFonts w:eastAsia="仿宋_GB2312"/>
                <w:kern w:val="0"/>
                <w:sz w:val="24"/>
                <w:szCs w:val="24"/>
              </w:rPr>
            </w:pPr>
            <w:r>
              <w:rPr>
                <w:rFonts w:eastAsia="仿宋_GB2312"/>
                <w:kern w:val="0"/>
                <w:sz w:val="24"/>
                <w:szCs w:val="24"/>
              </w:rPr>
              <w:t>（五）营商环境提升工程</w:t>
            </w:r>
          </w:p>
          <w:p>
            <w:pPr>
              <w:snapToGrid w:val="0"/>
              <w:spacing w:line="400" w:lineRule="exact"/>
              <w:ind w:firstLine="480"/>
              <w:rPr>
                <w:rFonts w:eastAsia="仿宋_GB2312"/>
                <w:kern w:val="0"/>
                <w:sz w:val="24"/>
                <w:szCs w:val="24"/>
              </w:rPr>
            </w:pPr>
            <w:r>
              <w:rPr>
                <w:rFonts w:eastAsia="仿宋_GB2312"/>
                <w:kern w:val="0"/>
                <w:sz w:val="24"/>
                <w:szCs w:val="24"/>
              </w:rPr>
              <w:t>深化“一枚印章管审批”，拓展“一件事”套餐服务、证照分离、“一业一证”、工程建设项目审批等改革，做好“标准地+承诺制+全代办”工作，推进政务服务标准化和智慧化，实现“7×24小时不打烊”、一网通办、就近能办、多点可办、少跑快办。在破产、中小投资者保护、企业设立等环节进一步提高得分。</w:t>
            </w:r>
          </w:p>
        </w:tc>
      </w:tr>
    </w:tbl>
    <w:p>
      <w:pPr>
        <w:widowControl/>
        <w:spacing w:line="600" w:lineRule="exact"/>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br w:type="page"/>
      </w:r>
    </w:p>
    <w:p>
      <w:pPr>
        <w:widowControl/>
        <w:spacing w:line="600" w:lineRule="exact"/>
        <w:jc w:val="center"/>
        <w:outlineLvl w:val="0"/>
        <w:rPr>
          <w:rFonts w:eastAsia="黑体"/>
          <w:bCs/>
          <w:sz w:val="32"/>
          <w:szCs w:val="32"/>
        </w:rPr>
      </w:pPr>
      <w:bookmarkStart w:id="34" w:name="_Toc90809350"/>
      <w:r>
        <w:rPr>
          <w:rFonts w:eastAsia="黑体"/>
          <w:bCs/>
          <w:sz w:val="32"/>
          <w:szCs w:val="32"/>
        </w:rPr>
        <w:t>第七章 坚持绿色低碳发展，推动生态环境保护共同治理</w:t>
      </w:r>
      <w:bookmarkEnd w:id="34"/>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树牢“绿水青山就是金山银山”理念，挖掘“见新见绿”深度内涵，以“筑牢南太行绿色生态屏障、护卫南太行水塔”为目标，推动生态修复协同治理，建设人与自然和谐共生的生态文明建设示范县，共建生态宜居的中原城市群。</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35" w:name="_Toc90809351"/>
      <w:r>
        <w:rPr>
          <w:rFonts w:eastAsia="黑体"/>
          <w:bCs/>
          <w:sz w:val="32"/>
          <w:szCs w:val="32"/>
        </w:rPr>
        <w:t>第一节 推进生态文明建设工程</w:t>
      </w:r>
      <w:bookmarkEnd w:id="35"/>
    </w:p>
    <w:p>
      <w:pPr>
        <w:widowControl/>
        <w:spacing w:line="600" w:lineRule="exact"/>
        <w:ind w:firstLine="643" w:firstLineChars="200"/>
        <w:rPr>
          <w:rFonts w:eastAsia="仿宋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共建生态屏障和生态廊道</w:t>
      </w:r>
      <w:r>
        <w:rPr>
          <w:rFonts w:eastAsia="仿宋_GB2312"/>
          <w:bCs/>
          <w:sz w:val="32"/>
          <w:szCs w:val="32"/>
        </w:rPr>
        <w:t>。坚持区域生态共建共享、区域环境共保共治原则，按照生产空间集约高效、生活空间宜居舒适、生态空间山清水秀的总体要求，积极融入构建中原城市群“三屏四廊”生态网络，实施以荒山、荒滩为重点的绿化工程，防风固沙，涵养水源，强化生态建设协调联动机制，共同推动太行山水土保持功能区建设，构建沿南太行生态屏障。以创建国家森林城市为牵引，共同实施新一轮全域增绿计划，推进国土生态绿化和跨区域生态廊道建设，提升生态系统质量和稳定性。</w:t>
      </w:r>
    </w:p>
    <w:p>
      <w:pPr>
        <w:widowControl/>
        <w:spacing w:line="600" w:lineRule="exact"/>
        <w:ind w:firstLine="643" w:firstLineChars="200"/>
        <w:rPr>
          <w:rFonts w:eastAsia="仿宋_GB2312"/>
          <w:bCs/>
          <w:sz w:val="32"/>
          <w:szCs w:val="32"/>
        </w:rPr>
      </w:pPr>
      <w:r>
        <w:rPr>
          <w:rFonts w:eastAsia="楷体_GB2312"/>
          <w:b/>
          <w:bCs/>
          <w:sz w:val="32"/>
          <w:szCs w:val="32"/>
        </w:rPr>
        <w:t>共同实施生态系统保护修复工程</w:t>
      </w:r>
      <w:r>
        <w:rPr>
          <w:rFonts w:eastAsia="仿宋_GB2312"/>
          <w:bCs/>
          <w:sz w:val="32"/>
          <w:szCs w:val="32"/>
        </w:rPr>
        <w:t>。强化矿山生态修复治理和采煤沉陷区生态治理领域战略合作，共同探索建立政府主导、企事业和社会参与、市场化运作、可持续的矿山生态保护修复机制。积极参与黄河流域生态保护</w:t>
      </w:r>
      <w:r>
        <w:rPr>
          <w:rFonts w:hint="eastAsia" w:eastAsia="仿宋_GB2312"/>
          <w:bCs/>
          <w:sz w:val="32"/>
          <w:szCs w:val="32"/>
          <w:lang w:eastAsia="zh-CN"/>
        </w:rPr>
        <w:t>和</w:t>
      </w:r>
      <w:r>
        <w:rPr>
          <w:rFonts w:eastAsia="仿宋_GB2312"/>
          <w:bCs/>
          <w:sz w:val="32"/>
          <w:szCs w:val="32"/>
        </w:rPr>
        <w:t>高质量发展国家战略 ，完善生态功能修复合作机制，推进实施跨流域、跨区域调水工程、病险水库除险加固工程、河道滩区综合提升治理等一批重大生态建设工程，构建黄河流域生态区域协作保护机制。加快建设沁河流域生态文化经济带，推进沁河上中下游、左右岸、干支流协同治理，打造生态修复、世遗引领、文旅融合的黄河流域生态要冲。</w:t>
      </w:r>
    </w:p>
    <w:p>
      <w:pPr>
        <w:widowControl/>
        <w:spacing w:line="600" w:lineRule="exact"/>
        <w:jc w:val="center"/>
        <w:outlineLvl w:val="1"/>
        <w:rPr>
          <w:rFonts w:eastAsia="黑体"/>
          <w:bCs/>
          <w:sz w:val="32"/>
          <w:szCs w:val="32"/>
        </w:rPr>
      </w:pPr>
      <w:bookmarkStart w:id="36" w:name="_Toc90809352"/>
      <w:r>
        <w:rPr>
          <w:rFonts w:eastAsia="黑体"/>
          <w:bCs/>
          <w:sz w:val="32"/>
          <w:szCs w:val="32"/>
        </w:rPr>
        <w:t>第二节 健全生态文明联动机制</w:t>
      </w:r>
      <w:bookmarkEnd w:id="36"/>
    </w:p>
    <w:p>
      <w:pPr>
        <w:widowControl/>
        <w:spacing w:line="600" w:lineRule="exact"/>
        <w:ind w:firstLine="643" w:firstLineChars="200"/>
        <w:rPr>
          <w:rFonts w:eastAsia="楷体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建立低碳发展合作机制</w:t>
      </w:r>
      <w:r>
        <w:rPr>
          <w:rFonts w:eastAsia="仿宋_GB2312"/>
          <w:bCs/>
          <w:sz w:val="32"/>
          <w:szCs w:val="32"/>
        </w:rPr>
        <w:t>。把开展碳达峰作为深化能源革命综合改革的牵引举措，研究共建“低碳发展示范区”，推动阳城与中原城市产业生态化和生态产业化对接，积极推进绿色低碳示范工程建设，持续开展煤炭等量减量替代。加强与中原城市群在绿色技术创新，发展绿色金融，壮大节能环保、清洁生产、清洁能源等绿色产业领域的合作。积极推进与中原城市群的横向碳减排交易，开展碳交易试点，为实现碳达峰、碳中和做准备。统筹布局生态、农业、城镇等功能空间，在边界地段共同划定生态保护红线、永久基本农田、城市开发边界等边界线，优化区域国土空间开发保护格局，提升对一体化发展的支撑保障能力。加强工矿废弃地复垦利用，跨区域开展城乡建设用地增减挂钩，促进土地要素在区域之间双向流动、平等交换。</w:t>
      </w:r>
    </w:p>
    <w:p>
      <w:pPr>
        <w:widowControl/>
        <w:spacing w:line="600" w:lineRule="exact"/>
        <w:ind w:firstLine="643" w:firstLineChars="200"/>
        <w:rPr>
          <w:rFonts w:eastAsia="仿宋_GB2312"/>
          <w:bCs/>
          <w:sz w:val="32"/>
          <w:szCs w:val="32"/>
        </w:rPr>
      </w:pPr>
      <w:r>
        <w:rPr>
          <w:rFonts w:eastAsia="楷体_GB2312"/>
          <w:b/>
          <w:bCs/>
          <w:sz w:val="32"/>
          <w:szCs w:val="32"/>
        </w:rPr>
        <w:t>组建区域低碳生活联盟</w:t>
      </w:r>
      <w:r>
        <w:rPr>
          <w:rFonts w:eastAsia="仿宋_GB2312"/>
          <w:bCs/>
          <w:sz w:val="32"/>
          <w:szCs w:val="32"/>
        </w:rPr>
        <w:t>。通过联合开展低碳主题宣传活动，开展低碳生活人物评选、公众人物示范等方式，倡导步行、自行车等低碳出行方式，调动大众践行绿色生活的积极性，使两地居民共同参与绿色行动体系。优化低碳消费环境，加快低碳生活场所、设施建设，探索建立布局合理、管理规范的废旧物品回收体系，建立统一的低碳产品标准和认证机制，建立和完善低碳绿色产品信息发布与查询平台。</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37" w:name="_Toc90809353"/>
      <w:r>
        <w:rPr>
          <w:rFonts w:eastAsia="黑体"/>
          <w:bCs/>
          <w:sz w:val="32"/>
          <w:szCs w:val="32"/>
        </w:rPr>
        <w:t>第三节 创新环境协同治理模式</w:t>
      </w:r>
      <w:bookmarkEnd w:id="37"/>
    </w:p>
    <w:p>
      <w:pPr>
        <w:widowControl/>
        <w:spacing w:line="600" w:lineRule="exact"/>
        <w:ind w:firstLine="643" w:firstLineChars="200"/>
        <w:rPr>
          <w:rFonts w:eastAsia="楷体_GB2312"/>
          <w:b/>
          <w:bCs/>
          <w:sz w:val="32"/>
          <w:szCs w:val="32"/>
        </w:rPr>
      </w:pPr>
    </w:p>
    <w:p>
      <w:pPr>
        <w:widowControl/>
        <w:spacing w:line="600" w:lineRule="exact"/>
        <w:ind w:firstLine="643" w:firstLineChars="200"/>
        <w:rPr>
          <w:rFonts w:eastAsia="仿宋_GB2312"/>
          <w:bCs/>
          <w:sz w:val="32"/>
          <w:szCs w:val="32"/>
        </w:rPr>
      </w:pPr>
      <w:r>
        <w:rPr>
          <w:rFonts w:eastAsia="楷体_GB2312"/>
          <w:b/>
          <w:bCs/>
          <w:sz w:val="32"/>
          <w:szCs w:val="32"/>
        </w:rPr>
        <w:t>建立大气水土污染协同共治机制</w:t>
      </w:r>
      <w:r>
        <w:rPr>
          <w:rFonts w:eastAsia="仿宋_GB2312"/>
          <w:bCs/>
          <w:sz w:val="32"/>
          <w:szCs w:val="32"/>
        </w:rPr>
        <w:t>。联合制定生态环境保护目标，完善区域生态环境监测预警和信息共享机制，建立环境污染综合防治和利益协调机制，联合开展PM2.5和O3为重点的大气污染联防联治，开展“散乱污”企业联合整治，加强跨界污染通报预警，建立区域环境监管与应急联动机制，提高环境事故联合处置协调能力。加强中原城市尤其是周边城市的水治理协调联动，做好沁河、</w:t>
      </w:r>
      <w:r>
        <w:rPr>
          <w:bCs/>
          <w:sz w:val="32"/>
          <w:szCs w:val="32"/>
        </w:rPr>
        <w:t>濩</w:t>
      </w:r>
      <w:r>
        <w:rPr>
          <w:rFonts w:eastAsia="仿宋_GB2312"/>
          <w:bCs/>
          <w:sz w:val="32"/>
          <w:szCs w:val="32"/>
        </w:rPr>
        <w:t>泽河、芦苇河、涧河等主要河流的水资源保护、水污染防治、水环境治理、水文化建设，让阳城河清水长流。协同推进土壤污染防治，加强区域土壤污染源监管。联合开展土壤状况详查，建立区域建设用地污染地块名录。协调推进水土流失综合治理、退耕还林还草以保持水土，逐步改善区域内土壤环境。联合加强固废、医疗废物、危废品收存处置，强化危险废物全面安全管控，严防跨区域倾倒。</w:t>
      </w:r>
    </w:p>
    <w:p>
      <w:pPr>
        <w:widowControl/>
        <w:spacing w:line="600" w:lineRule="exact"/>
        <w:ind w:firstLine="643" w:firstLineChars="200"/>
        <w:rPr>
          <w:rFonts w:eastAsia="仿宋_GB2312"/>
          <w:bCs/>
          <w:sz w:val="32"/>
          <w:szCs w:val="32"/>
        </w:rPr>
      </w:pPr>
      <w:r>
        <w:rPr>
          <w:rFonts w:eastAsia="楷体_GB2312"/>
          <w:b/>
          <w:bCs/>
          <w:sz w:val="32"/>
          <w:szCs w:val="32"/>
        </w:rPr>
        <w:t>建立生态环境治理协作机制</w:t>
      </w:r>
      <w:r>
        <w:rPr>
          <w:rFonts w:eastAsia="仿宋_GB2312"/>
          <w:bCs/>
          <w:sz w:val="32"/>
          <w:szCs w:val="32"/>
        </w:rPr>
        <w:t>。统一协调重大项目规划与建设环境评价，重点严防交界地区高耗能、高污染项目落地。实施企业环保承诺制，探索建立分类管理、同类简化、试行备案的项目环评备案管理模式。建立环境执法联动工作机制，进一步推进环境行政执法与司法的衔接，形成区域内相互衔接、协调配合、联动互动的环境保护执法新机制，进一步完善环境执法监管体系。</w:t>
      </w:r>
    </w:p>
    <w:p>
      <w:pPr>
        <w:widowControl/>
        <w:spacing w:line="600" w:lineRule="exact"/>
        <w:ind w:firstLine="640" w:firstLineChars="200"/>
        <w:rPr>
          <w:rFonts w:eastAsia="仿宋_GB2312"/>
          <w:bCs/>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jc w:val="center"/>
              <w:rPr>
                <w:rFonts w:eastAsia="仿宋_GB2312"/>
                <w:b/>
                <w:bCs/>
                <w:sz w:val="28"/>
                <w:szCs w:val="28"/>
              </w:rPr>
            </w:pPr>
            <w:r>
              <w:rPr>
                <w:rFonts w:eastAsia="仿宋_GB2312"/>
                <w:b/>
                <w:bCs/>
                <w:sz w:val="28"/>
                <w:szCs w:val="28"/>
              </w:rPr>
              <w:t>专栏5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ind w:firstLine="480" w:firstLineChars="200"/>
              <w:rPr>
                <w:rFonts w:eastAsia="仿宋_GB2312"/>
                <w:bCs/>
                <w:sz w:val="24"/>
                <w:szCs w:val="24"/>
              </w:rPr>
            </w:pPr>
            <w:r>
              <w:rPr>
                <w:rFonts w:eastAsia="仿宋_GB2312"/>
                <w:bCs/>
                <w:sz w:val="24"/>
                <w:szCs w:val="24"/>
              </w:rPr>
              <w:t>（一）大气水土污染协同共治工程</w:t>
            </w:r>
          </w:p>
          <w:p>
            <w:pPr>
              <w:widowControl/>
              <w:spacing w:line="600" w:lineRule="exact"/>
              <w:ind w:firstLine="480" w:firstLineChars="200"/>
              <w:rPr>
                <w:rFonts w:eastAsia="仿宋_GB2312"/>
                <w:bCs/>
                <w:sz w:val="24"/>
                <w:szCs w:val="24"/>
              </w:rPr>
            </w:pPr>
            <w:r>
              <w:rPr>
                <w:rFonts w:eastAsia="仿宋_GB2312"/>
                <w:bCs/>
                <w:sz w:val="24"/>
                <w:szCs w:val="24"/>
              </w:rPr>
              <w:t>联合开展PM2.5和O3为重点的大气污染联防联治，开展“散乱污”企业联合整治，加强中原城市尤其是周边城市的水治理协调联动，协同推进土壤污染防治、水土流失综合治理、退耕还林还草以保持水土，联合加强固废、医疗废物、危废品收存处置，严防跨区域倾倒。</w:t>
            </w:r>
          </w:p>
          <w:p>
            <w:pPr>
              <w:widowControl/>
              <w:spacing w:line="600" w:lineRule="exact"/>
              <w:ind w:firstLine="480" w:firstLineChars="200"/>
              <w:rPr>
                <w:rFonts w:eastAsia="仿宋_GB2312"/>
                <w:bCs/>
                <w:sz w:val="24"/>
                <w:szCs w:val="24"/>
              </w:rPr>
            </w:pPr>
            <w:r>
              <w:rPr>
                <w:rFonts w:eastAsia="仿宋_GB2312"/>
                <w:bCs/>
                <w:sz w:val="24"/>
                <w:szCs w:val="24"/>
              </w:rPr>
              <w:t>（二）生态系统协同保护修复工程</w:t>
            </w:r>
          </w:p>
          <w:p>
            <w:pPr>
              <w:widowControl/>
              <w:spacing w:line="600" w:lineRule="exact"/>
              <w:ind w:firstLine="480" w:firstLineChars="200"/>
              <w:rPr>
                <w:rFonts w:eastAsia="仿宋_GB2312"/>
                <w:bCs/>
                <w:sz w:val="24"/>
                <w:szCs w:val="24"/>
              </w:rPr>
            </w:pPr>
            <w:r>
              <w:rPr>
                <w:rFonts w:eastAsia="仿宋_GB2312"/>
                <w:bCs/>
                <w:sz w:val="24"/>
                <w:szCs w:val="24"/>
              </w:rPr>
              <w:t>共建沿南太行生态屏障，协同推进“三屏四廊”生态网络建设。共同推进国土生态绿化和跨区域生态廊道建设，提升生态系统质量和稳定性。</w:t>
            </w:r>
          </w:p>
          <w:p>
            <w:pPr>
              <w:widowControl/>
              <w:spacing w:line="600" w:lineRule="exact"/>
              <w:ind w:firstLine="480" w:firstLineChars="200"/>
              <w:rPr>
                <w:rFonts w:eastAsia="仿宋_GB2312"/>
                <w:bCs/>
                <w:sz w:val="24"/>
                <w:szCs w:val="24"/>
              </w:rPr>
            </w:pPr>
            <w:r>
              <w:rPr>
                <w:rFonts w:eastAsia="仿宋_GB2312"/>
                <w:bCs/>
                <w:sz w:val="24"/>
                <w:szCs w:val="24"/>
              </w:rPr>
              <w:t>（三）共建低碳发展示范区工程</w:t>
            </w:r>
          </w:p>
          <w:p>
            <w:pPr>
              <w:widowControl/>
              <w:spacing w:line="600" w:lineRule="exact"/>
              <w:ind w:firstLine="480" w:firstLineChars="200"/>
              <w:rPr>
                <w:rFonts w:eastAsia="仿宋_GB2312"/>
                <w:bCs/>
                <w:szCs w:val="32"/>
              </w:rPr>
            </w:pPr>
            <w:r>
              <w:rPr>
                <w:rFonts w:eastAsia="仿宋_GB2312"/>
                <w:bCs/>
                <w:sz w:val="24"/>
                <w:szCs w:val="24"/>
              </w:rPr>
              <w:t>加强与中原城市群在绿色技术创新，积极推进与中原城市群的横向碳减排交易，开展碳交易试点，共同倡导绿色循环低碳生活方式和消费模式。</w:t>
            </w:r>
          </w:p>
        </w:tc>
      </w:tr>
    </w:tbl>
    <w:p>
      <w:pPr>
        <w:widowControl/>
        <w:spacing w:line="600" w:lineRule="exact"/>
        <w:rPr>
          <w:rFonts w:eastAsia="仿宋_GB2312"/>
          <w:bCs/>
          <w:sz w:val="32"/>
          <w:szCs w:val="32"/>
        </w:rPr>
      </w:pPr>
      <w:r>
        <w:rPr>
          <w:rFonts w:eastAsia="仿宋_GB2312"/>
          <w:bCs/>
          <w:sz w:val="32"/>
          <w:szCs w:val="32"/>
        </w:rPr>
        <w:br w:type="page"/>
      </w:r>
    </w:p>
    <w:p>
      <w:pPr>
        <w:widowControl/>
        <w:spacing w:line="600" w:lineRule="exact"/>
        <w:jc w:val="center"/>
        <w:outlineLvl w:val="0"/>
        <w:rPr>
          <w:rFonts w:eastAsia="黑体"/>
          <w:bCs/>
          <w:sz w:val="32"/>
          <w:szCs w:val="32"/>
        </w:rPr>
      </w:pPr>
      <w:bookmarkStart w:id="38" w:name="_Toc90809354"/>
      <w:r>
        <w:rPr>
          <w:rFonts w:eastAsia="黑体"/>
          <w:bCs/>
          <w:sz w:val="32"/>
          <w:szCs w:val="32"/>
        </w:rPr>
        <w:t>第八章 建设生态宜居城市，共建共享共创幸福美好生活</w:t>
      </w:r>
      <w:bookmarkEnd w:id="38"/>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加强公共政策对接与协同，深化公共服务共建共享机制建设，共谋教育医疗、文体设施、社会保障、生态环保等全方位深度合作，繁荣消费经济，打造高品质生态宜居城市。</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39" w:name="_Toc90809355"/>
      <w:r>
        <w:rPr>
          <w:rFonts w:eastAsia="黑体"/>
          <w:bCs/>
          <w:sz w:val="32"/>
          <w:szCs w:val="32"/>
        </w:rPr>
        <w:t>第一节 开展历史文化研究交流</w:t>
      </w:r>
      <w:bookmarkEnd w:id="39"/>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共同推进黄河流域文化遗产连片整体性传承利用和保护展示，发展以黄河文化和远古文化为精髓的文化创意产业带，建设博物馆、创意园、文化中心、展馆等文化设施，加大阳城与郑州、开封、洛阳等地博物馆馆藏精品的交流互鉴，促进文化交融、文化共兴。深化与洛阳偃师、安徽亳州商汤文化联动，联合力量深入阳城中寨村、文曲村、偃师蔺窑村、亳州涡北风头村等地开展考古发掘，共同举办商汤文化学术研讨会，深度挖掘商汤文化内涵，推动达成共识、互享互认。积极开展艺术节、书画展系列活动，邀请全媒体深入阳城成汤大庙、偃师商汤陵文化旅游园、亳州汤王陵公园等地进行文化体验，共同开发商汤文化游路线，打造跨区域文化交流品牌，共同提升商汤文化影响力。讲好“六福客栈”等历史文化故事，助力打响三晋文化、中原文化品牌。</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40" w:name="_Toc90809356"/>
      <w:r>
        <w:rPr>
          <w:rFonts w:eastAsia="黑体"/>
          <w:bCs/>
          <w:sz w:val="32"/>
          <w:szCs w:val="32"/>
        </w:rPr>
        <w:t>第二节 加强文物和非遗传承保护</w:t>
      </w:r>
      <w:bookmarkEnd w:id="40"/>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以国家第一批革命文物保护利用片区（晋冀豫片区）为依托，实行革命文物资源跨省市整合和整体保护利用行动，对未定级的革命文物提升保护级别、加强保护。加强与焦作、济源等邻近城市互惠合作，共同探索非遗生产性保护和非遗文创衍生品开发的相关经验。积极联合邻近城市，共同组织非遗项目参与国家级、省级对外交流品牌活动。</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41" w:name="_Toc90809357"/>
      <w:r>
        <w:rPr>
          <w:rFonts w:eastAsia="黑体"/>
          <w:bCs/>
          <w:sz w:val="32"/>
          <w:szCs w:val="32"/>
        </w:rPr>
        <w:t>第三节 加强医教资源跨区域互动</w:t>
      </w:r>
      <w:bookmarkEnd w:id="41"/>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立足“健康阳城”建设，深化医疗资源协同发展，推进与中原城市群各城市实现医疗卫生资源共享、信息互通、结果互认。推动阳城县人民医院、阳城县第二人民医院、阳城县中医院等与郑州大学第一附属医院、河南省人民医院、河南省中医院等公立医院建立合作机制，通过院院合作、科院合作、科科合作等方式，争取医疗机构服务功能向阳城延伸，提升阳城重点学科建设水平。加强与中原城市群高等医学院校、医疗机构在医学教育、人才培养培训、远程医疗等方面的合作，引进或培养一批名医、学科带头人。加强公共卫生协同共治，推动重大传染病联防联治，构建公共卫生信息互换平台和信息共享机制。立足“教育名城”建设，积极参与教育资源共建共享，加强与中原城市群优质基础教育、高等教育、职业教育的交流合作和办学。鼓励阳城职教与中原高校联合共建优势学科、实验室和研究中心，支持各类职业教育实训基地互相开放。推进义务教育合作，推动学校间牵手帮扶，建立优秀校长和教师定期交流，共同提升义务教育质量。</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42" w:name="_Toc90809358"/>
      <w:r>
        <w:rPr>
          <w:rFonts w:eastAsia="黑体"/>
          <w:bCs/>
          <w:sz w:val="32"/>
          <w:szCs w:val="32"/>
        </w:rPr>
        <w:t>第四节 加强就业政策和服务衔接</w:t>
      </w:r>
      <w:bookmarkEnd w:id="42"/>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努力推动构建区域一体、无障碍流通、优势互补的劳动力市场，共同繁荣区域人力资源服务产业，完善跨省就业服务体系建设，统筹整合区域优势资源，联合开展就业培训体系建设，建立劳动者权益合作保障维权机制、劳动保障重大突发事件联合通报和协同处理制度，加强区域劳动力市场整顿，共同维护良好的市场秩序。共建区域就业信息共享平台，加快实现劳动市场信息网络省际联网，积极参与“省际远程招聘系统”“职业培训信息平台”建设，建立区域劳动力供求、职业技能培训等信息定期发布制度。</w:t>
      </w:r>
    </w:p>
    <w:p>
      <w:pPr>
        <w:widowControl/>
        <w:spacing w:line="600" w:lineRule="exact"/>
        <w:jc w:val="center"/>
        <w:outlineLvl w:val="1"/>
        <w:rPr>
          <w:rFonts w:eastAsia="黑体"/>
          <w:bCs/>
          <w:sz w:val="32"/>
          <w:szCs w:val="32"/>
        </w:rPr>
      </w:pPr>
      <w:bookmarkStart w:id="43" w:name="_Toc90809359"/>
      <w:r>
        <w:rPr>
          <w:rFonts w:eastAsia="黑体"/>
          <w:bCs/>
          <w:sz w:val="32"/>
          <w:szCs w:val="32"/>
        </w:rPr>
        <w:t>第五节 推动公共服务标准一体化</w:t>
      </w:r>
      <w:bookmarkEnd w:id="43"/>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率先接轨洛阳、郑州等城市基本公共服务标准体系建设，争取在交通、医保、文旅等关键民生领域实现“一证（卡）通”。积极推进与中原城市群主要城市异地就医门诊直接结算全覆盖，探索异地就医备案互认，争取设立异地就医门诊医疗费用直接结算试点。提升养老保险、医疗保险和失业保险在中原城市间转移接续的便利化水平，着力推进社会保险异地办理，促进异地养老。推进建立跨区域智慧城市建设一体化协调机制，主动对接接口、规格、通信协议等技术标准，力争在更高层次上实现互联互通，做到信息共享和服务共享。建立社会信用信息共享交换平台，实现企业登记、产品质量监管等信用信息的共享交换，实现信用联合惩戒和违法失信黑名单公开曝光制度。</w:t>
      </w:r>
    </w:p>
    <w:p>
      <w:pPr>
        <w:widowControl/>
        <w:spacing w:line="600" w:lineRule="exact"/>
        <w:rPr>
          <w:rFonts w:eastAsia="仿宋_GB2312"/>
          <w:bCs/>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widowControl/>
              <w:spacing w:line="600" w:lineRule="exact"/>
              <w:jc w:val="center"/>
              <w:rPr>
                <w:rFonts w:eastAsia="仿宋_GB2312"/>
                <w:b/>
                <w:bCs/>
                <w:sz w:val="28"/>
                <w:szCs w:val="28"/>
              </w:rPr>
            </w:pPr>
            <w:r>
              <w:rPr>
                <w:rFonts w:eastAsia="仿宋_GB2312"/>
                <w:b/>
                <w:bCs/>
                <w:sz w:val="28"/>
                <w:szCs w:val="28"/>
              </w:rPr>
              <w:t>专栏6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spacing w:line="400" w:lineRule="exact"/>
              <w:ind w:firstLine="480"/>
              <w:rPr>
                <w:rFonts w:eastAsia="仿宋_GB2312"/>
                <w:sz w:val="24"/>
                <w:szCs w:val="24"/>
              </w:rPr>
            </w:pPr>
            <w:r>
              <w:rPr>
                <w:rFonts w:eastAsia="仿宋_GB2312"/>
                <w:sz w:val="24"/>
                <w:szCs w:val="24"/>
              </w:rPr>
              <w:t>（一）历史文化研究交流工程</w:t>
            </w:r>
          </w:p>
          <w:p>
            <w:pPr>
              <w:spacing w:line="400" w:lineRule="exact"/>
              <w:ind w:firstLine="480"/>
              <w:rPr>
                <w:rFonts w:eastAsia="仿宋_GB2312"/>
                <w:sz w:val="24"/>
                <w:szCs w:val="24"/>
              </w:rPr>
            </w:pPr>
            <w:r>
              <w:rPr>
                <w:rFonts w:eastAsia="仿宋_GB2312"/>
                <w:sz w:val="24"/>
                <w:szCs w:val="24"/>
              </w:rPr>
              <w:t>共同发展以黄河文化和远古文化为精髓的文化创意产业带，深化与洛阳偃师、安徽亳州商汤文化联动，共同举办商汤文化学术研讨会，开发商汤文化游路线，提升商汤文化影响力。讲好“六福客栈”等历史文化故事，助力打响三晋文化、中原文化品牌。</w:t>
            </w:r>
          </w:p>
          <w:p>
            <w:pPr>
              <w:spacing w:line="400" w:lineRule="exact"/>
              <w:ind w:firstLine="480"/>
              <w:rPr>
                <w:rFonts w:eastAsia="仿宋_GB2312"/>
                <w:sz w:val="24"/>
                <w:szCs w:val="24"/>
              </w:rPr>
            </w:pPr>
            <w:r>
              <w:rPr>
                <w:rFonts w:eastAsia="仿宋_GB2312"/>
                <w:sz w:val="24"/>
                <w:szCs w:val="24"/>
              </w:rPr>
              <w:t>（二）文物和非遗传承保护工程</w:t>
            </w:r>
          </w:p>
          <w:p>
            <w:pPr>
              <w:spacing w:line="400" w:lineRule="exact"/>
              <w:ind w:firstLine="480"/>
              <w:rPr>
                <w:rFonts w:eastAsia="仿宋_GB2312"/>
                <w:sz w:val="24"/>
                <w:szCs w:val="24"/>
              </w:rPr>
            </w:pPr>
            <w:r>
              <w:rPr>
                <w:rFonts w:eastAsia="仿宋_GB2312"/>
                <w:sz w:val="24"/>
                <w:szCs w:val="24"/>
              </w:rPr>
              <w:t>以国家第一批革命文物保护利用片区（晋冀豫片区）为依托，开展革命文物资源跨省市整合和整体保护利用行动。加强与焦作、济源等邻近城市合作，共同探索非遗生产性保护和非遗文创衍生品开发的相关经验。</w:t>
            </w:r>
          </w:p>
          <w:p>
            <w:pPr>
              <w:spacing w:line="400" w:lineRule="exact"/>
              <w:ind w:firstLine="480"/>
              <w:rPr>
                <w:rFonts w:eastAsia="仿宋_GB2312"/>
                <w:sz w:val="24"/>
                <w:szCs w:val="24"/>
              </w:rPr>
            </w:pPr>
            <w:r>
              <w:rPr>
                <w:rFonts w:eastAsia="仿宋_GB2312"/>
                <w:sz w:val="24"/>
                <w:szCs w:val="24"/>
              </w:rPr>
              <w:t>（二）医教资源结对共享工程</w:t>
            </w:r>
          </w:p>
          <w:p>
            <w:pPr>
              <w:spacing w:line="400" w:lineRule="exact"/>
              <w:ind w:firstLine="480"/>
              <w:rPr>
                <w:rFonts w:eastAsia="仿宋_GB2312"/>
                <w:sz w:val="24"/>
                <w:szCs w:val="24"/>
              </w:rPr>
            </w:pPr>
            <w:r>
              <w:rPr>
                <w:rFonts w:eastAsia="仿宋_GB2312"/>
                <w:sz w:val="24"/>
                <w:szCs w:val="24"/>
              </w:rPr>
              <w:t>立足“健康阳城”建设，推动阳城县人民医院、阳城县第二人民医院、阳城县中医院等与郑州大学第一附属医院、河南省人民医院、河南省中医院等公立医院建立合作机制，提升阳城重点学科建设水平，引进或培养一批名医、学科带头人。立足“教育名城”建设，鼓励阳城职教与中原高校联合共建优势学科、实验室和研究中心，推进义务教育合作，建立优秀校长和教师定期交流，提升义务教育质量。</w:t>
            </w:r>
          </w:p>
          <w:p>
            <w:pPr>
              <w:spacing w:line="400" w:lineRule="exact"/>
              <w:ind w:firstLine="480"/>
              <w:rPr>
                <w:rFonts w:eastAsia="仿宋_GB2312"/>
                <w:sz w:val="24"/>
                <w:szCs w:val="24"/>
              </w:rPr>
            </w:pPr>
            <w:r>
              <w:rPr>
                <w:rFonts w:eastAsia="仿宋_GB2312"/>
                <w:sz w:val="24"/>
                <w:szCs w:val="24"/>
              </w:rPr>
              <w:t>（四）劳动力市场建设工程</w:t>
            </w:r>
          </w:p>
          <w:p>
            <w:pPr>
              <w:spacing w:line="400" w:lineRule="exact"/>
              <w:ind w:firstLine="480"/>
              <w:rPr>
                <w:rFonts w:eastAsia="仿宋_GB2312"/>
                <w:sz w:val="24"/>
                <w:szCs w:val="24"/>
              </w:rPr>
            </w:pPr>
            <w:r>
              <w:rPr>
                <w:rFonts w:eastAsia="仿宋_GB2312"/>
                <w:sz w:val="24"/>
                <w:szCs w:val="24"/>
              </w:rPr>
              <w:t>积极参与“省际远程招聘系统”“职业培训信息平台”建设，建立区域劳动力供求、职业技能培训等信息定期发布制度。</w:t>
            </w:r>
          </w:p>
          <w:p>
            <w:pPr>
              <w:spacing w:line="400" w:lineRule="exact"/>
              <w:ind w:firstLine="480"/>
              <w:rPr>
                <w:rFonts w:eastAsia="仿宋_GB2312"/>
                <w:sz w:val="24"/>
                <w:szCs w:val="24"/>
              </w:rPr>
            </w:pPr>
            <w:r>
              <w:rPr>
                <w:rFonts w:eastAsia="仿宋_GB2312"/>
                <w:sz w:val="24"/>
                <w:szCs w:val="24"/>
              </w:rPr>
              <w:t>（五）公共服务标准一体化工程</w:t>
            </w:r>
          </w:p>
          <w:p>
            <w:pPr>
              <w:spacing w:line="400" w:lineRule="exact"/>
              <w:ind w:firstLine="480"/>
              <w:rPr>
                <w:rFonts w:eastAsia="仿宋_GB2312"/>
                <w:sz w:val="24"/>
                <w:szCs w:val="24"/>
              </w:rPr>
            </w:pPr>
            <w:r>
              <w:rPr>
                <w:rFonts w:eastAsia="仿宋_GB2312"/>
                <w:sz w:val="24"/>
                <w:szCs w:val="24"/>
              </w:rPr>
              <w:t>率先接轨洛阳、郑州等城市基本公共服务标准体系建设，争取在交通、医保、文旅等关键民生领域实现“一证（卡）通”。</w:t>
            </w:r>
          </w:p>
        </w:tc>
      </w:tr>
    </w:tbl>
    <w:p>
      <w:pPr>
        <w:widowControl/>
        <w:spacing w:line="600" w:lineRule="exact"/>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br w:type="page"/>
      </w:r>
    </w:p>
    <w:p>
      <w:pPr>
        <w:widowControl/>
        <w:spacing w:line="600" w:lineRule="exact"/>
        <w:jc w:val="center"/>
        <w:outlineLvl w:val="0"/>
        <w:rPr>
          <w:rFonts w:eastAsia="方正小标宋简体"/>
          <w:bCs/>
          <w:sz w:val="32"/>
          <w:szCs w:val="32"/>
        </w:rPr>
      </w:pPr>
      <w:bookmarkStart w:id="44" w:name="_Toc90809360"/>
      <w:r>
        <w:rPr>
          <w:rFonts w:eastAsia="方正小标宋简体"/>
          <w:bCs/>
          <w:sz w:val="32"/>
          <w:szCs w:val="32"/>
        </w:rPr>
        <w:t>第九章 保障措施</w:t>
      </w:r>
      <w:bookmarkEnd w:id="44"/>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 xml:space="preserve">规划的有效实施，必须坚持党的全面领导，建立和完善合作机制，不断强化规划实施保障，举全县之力，集全县之智，共同推进规划目标和任务顺利落实。 </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45" w:name="_Toc90809361"/>
      <w:r>
        <w:rPr>
          <w:rFonts w:eastAsia="黑体"/>
          <w:bCs/>
          <w:sz w:val="32"/>
          <w:szCs w:val="32"/>
        </w:rPr>
        <w:t>第一节 加强组织领导建设</w:t>
      </w:r>
      <w:bookmarkEnd w:id="45"/>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全面加强党纵览全局、协调各方的领导核心作用，健全完善县委主要领导任组长的融入中原城市发展领导小组运行机制，领导小组定期研究审议重大规划、重大政策、重大项目，研究解决区域一体化推进过程中出现的重点难点问题，切实在县级层面增强规划布局、项目落地、政策配套的协调联动。领导小组下设办公室，由发改局履行领导小组办公室职责；聚焦创新、产业合作、文化旅游、交通互联、公共服务、市场一体化等领域成立若干专项工作小组，由各领域相关部门负责各专项领域接轨工作。将重点工作任务纳入各部门、各重大平台的工作目标责任制考核，建立健全评价体系、统计体系和绩效考核体系。</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黑体"/>
          <w:bCs/>
          <w:sz w:val="32"/>
          <w:szCs w:val="32"/>
        </w:rPr>
      </w:pPr>
      <w:bookmarkStart w:id="46" w:name="_Toc90809362"/>
      <w:r>
        <w:rPr>
          <w:rFonts w:eastAsia="黑体"/>
          <w:bCs/>
          <w:sz w:val="32"/>
          <w:szCs w:val="32"/>
        </w:rPr>
        <w:t>第二节 建立区域沟通机制</w:t>
      </w:r>
      <w:bookmarkEnd w:id="46"/>
    </w:p>
    <w:p>
      <w:pPr>
        <w:widowControl/>
        <w:spacing w:line="600" w:lineRule="exact"/>
        <w:ind w:firstLine="640" w:firstLineChars="200"/>
        <w:rPr>
          <w:rFonts w:eastAsia="仿宋_GB2312"/>
          <w:bCs/>
          <w:sz w:val="32"/>
          <w:szCs w:val="32"/>
        </w:rPr>
      </w:pPr>
    </w:p>
    <w:p>
      <w:pPr>
        <w:widowControl/>
        <w:spacing w:line="600" w:lineRule="exact"/>
        <w:ind w:firstLine="640" w:firstLineChars="200"/>
        <w:rPr>
          <w:rFonts w:eastAsia="仿宋_GB2312"/>
          <w:bCs/>
          <w:sz w:val="32"/>
          <w:szCs w:val="32"/>
        </w:rPr>
      </w:pPr>
      <w:r>
        <w:rPr>
          <w:rFonts w:eastAsia="仿宋_GB2312"/>
          <w:bCs/>
          <w:sz w:val="32"/>
          <w:szCs w:val="32"/>
        </w:rPr>
        <w:t>探索建立跨行政区新型协调管理机制，推动建立党政首长联席会议机制，加强区域合作的组织领导，研究重大战略、重大规划、重大政策，协调解决跨区域合作的重大问题。推动建立专业部门联席会议机制，制定具体实施方案，编制重点领域专项规划，推进重点工作和项目实施。建立与中原城市群重点节点城市跨区域战略合作框架，每年组织党政代表团赴洛阳、郑州等城市考察交流，深化战略合作关系。建立干部双向挂职制度，选派优秀干部到有关部门、高校科研院所和产业园区、科创平台挂职锻炼。建立健全与济源市、垣曲县等毗邻区域对接合作机制，共同推进落实合作事项。推动建立民间组织合作机制，支持建立区域性行业协会、商会等社会团体、社会组织合作机制，积极引导社会各界参与合作。</w:t>
      </w:r>
    </w:p>
    <w:p>
      <w:pPr>
        <w:widowControl/>
        <w:spacing w:line="600" w:lineRule="exact"/>
        <w:ind w:firstLine="640" w:firstLineChars="200"/>
        <w:rPr>
          <w:rFonts w:eastAsia="仿宋_GB2312"/>
          <w:bCs/>
          <w:sz w:val="32"/>
          <w:szCs w:val="32"/>
        </w:rPr>
      </w:pPr>
    </w:p>
    <w:p>
      <w:pPr>
        <w:widowControl/>
        <w:spacing w:line="600" w:lineRule="exact"/>
        <w:jc w:val="center"/>
        <w:outlineLvl w:val="1"/>
        <w:rPr>
          <w:rFonts w:eastAsia="楷体_GB2312"/>
          <w:b/>
          <w:bCs/>
          <w:sz w:val="32"/>
          <w:szCs w:val="32"/>
        </w:rPr>
      </w:pPr>
      <w:bookmarkStart w:id="47" w:name="_Toc90809363"/>
      <w:r>
        <w:rPr>
          <w:rFonts w:eastAsia="黑体"/>
          <w:bCs/>
          <w:sz w:val="32"/>
          <w:szCs w:val="32"/>
        </w:rPr>
        <w:t>第三节 强化工程项目支撑</w:t>
      </w:r>
      <w:bookmarkEnd w:id="47"/>
    </w:p>
    <w:p>
      <w:pPr>
        <w:widowControl/>
        <w:spacing w:line="600" w:lineRule="exact"/>
        <w:ind w:firstLine="640" w:firstLineChars="200"/>
        <w:rPr>
          <w:rFonts w:eastAsia="仿宋_GB2312"/>
          <w:sz w:val="32"/>
          <w:szCs w:val="32"/>
        </w:rPr>
      </w:pPr>
    </w:p>
    <w:p>
      <w:pPr>
        <w:widowControl/>
        <w:spacing w:line="600" w:lineRule="exact"/>
        <w:ind w:firstLine="640" w:firstLineChars="200"/>
        <w:rPr>
          <w:rFonts w:eastAsia="仿宋_GB2312"/>
          <w:sz w:val="32"/>
          <w:szCs w:val="32"/>
        </w:rPr>
      </w:pPr>
      <w:r>
        <w:rPr>
          <w:rFonts w:eastAsia="仿宋_GB2312"/>
          <w:sz w:val="32"/>
          <w:szCs w:val="32"/>
        </w:rPr>
        <w:t>聚焦跨区域基础设施、生态环境治理、产业创新平台、科技创新平台、公共服务共享、开放合作共建等重点领域，每年提出并滚动实施一批重大标志性实事项目，筹划一批备选前期项目。坚持项目化推进、清单化管理、责任制落实，明确阶段性主攻方向、突破口、责任分工和进度安排，制定“施工图”“时间表”，确保各类合作事项能落地、快实施、早见效。探索建立区域协作重点工程专项扶持政策体系，在援建资金、土地指标、功能提升、人才服务等方面加大扶持力度，助推区域协作重大项目实施和园区平台合作共建。</w:t>
      </w:r>
    </w:p>
    <w:p>
      <w:pPr>
        <w:widowControl/>
        <w:spacing w:line="600" w:lineRule="exact"/>
        <w:ind w:firstLine="640" w:firstLineChars="200"/>
        <w:rPr>
          <w:rFonts w:eastAsia="仿宋_GB2312"/>
          <w:sz w:val="32"/>
          <w:szCs w:val="32"/>
        </w:rPr>
      </w:pPr>
    </w:p>
    <w:p>
      <w:pPr>
        <w:widowControl/>
        <w:spacing w:line="600" w:lineRule="exact"/>
        <w:jc w:val="center"/>
        <w:outlineLvl w:val="1"/>
        <w:rPr>
          <w:rFonts w:eastAsia="黑体"/>
          <w:bCs/>
          <w:sz w:val="32"/>
          <w:szCs w:val="32"/>
        </w:rPr>
      </w:pPr>
      <w:bookmarkStart w:id="48" w:name="_Toc90809364"/>
      <w:r>
        <w:rPr>
          <w:rFonts w:eastAsia="黑体"/>
          <w:bCs/>
          <w:sz w:val="32"/>
          <w:szCs w:val="32"/>
        </w:rPr>
        <w:t>第四节 营造双向互动氛围</w:t>
      </w:r>
      <w:bookmarkEnd w:id="48"/>
    </w:p>
    <w:p>
      <w:pPr>
        <w:widowControl/>
        <w:spacing w:line="600" w:lineRule="exact"/>
        <w:ind w:firstLine="640" w:firstLineChars="200"/>
        <w:rPr>
          <w:rFonts w:eastAsia="仿宋_GB2312"/>
          <w:sz w:val="32"/>
          <w:szCs w:val="32"/>
        </w:rPr>
      </w:pPr>
    </w:p>
    <w:p>
      <w:pPr>
        <w:widowControl/>
        <w:spacing w:line="600" w:lineRule="exact"/>
        <w:ind w:firstLine="640" w:firstLineChars="200"/>
        <w:rPr>
          <w:rFonts w:eastAsia="仿宋_GB2312"/>
          <w:sz w:val="32"/>
          <w:szCs w:val="32"/>
        </w:rPr>
      </w:pPr>
      <w:r>
        <w:rPr>
          <w:rFonts w:eastAsia="仿宋_GB2312"/>
          <w:sz w:val="32"/>
          <w:szCs w:val="32"/>
        </w:rPr>
        <w:t>县委县政府定期召集召开融入中原城市群等专题工作会议，举办系列重大活动，及时传递成效经验，畅通意见建议反馈渠道，鼓励社会各界建言献策。及时发现和总结区域协作工作中的成功经验、较好做法，形成专题报告向省、市主要领导报送。组织新闻媒体广泛宣传协作发展中涌现出来的先进典型、有益成果。同时，充分发挥商会协会等社会组织的作用，利用其信息、网络和专业优势，开辟更多的信息渠道，积极开展面向郑州、亳州、聊城等中原城市群主要城市的宣传推介活动，让更多中原城市群市民关注阳城、走进阳城，形成双向合力，营造全社会共同支持区域协作的良好氛围。</w:t>
      </w:r>
    </w:p>
    <w:sectPr>
      <w:headerReference r:id="rId8" w:type="default"/>
      <w:footerReference r:id="rId9" w:type="default"/>
      <w:pgSz w:w="11906" w:h="16838"/>
      <w:pgMar w:top="2268" w:right="1418" w:bottom="1701" w:left="1701"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MYpOtDQAQAAmgMAAA4AAAAAAAAAAQAgAAAAHwEAAGRy&#10;cy9lMm9Eb2MueG1sUEsFBgAAAAAGAAYAWQEAAGE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NmVhMGNlNzc0ZGRjYTE2NjUyY2U2NGMxNThjN2EifQ=="/>
  </w:docVars>
  <w:rsids>
    <w:rsidRoot w:val="003D6C21"/>
    <w:rsid w:val="0000083A"/>
    <w:rsid w:val="00002BE5"/>
    <w:rsid w:val="00004EE4"/>
    <w:rsid w:val="00006754"/>
    <w:rsid w:val="00011873"/>
    <w:rsid w:val="00011AE1"/>
    <w:rsid w:val="0001403B"/>
    <w:rsid w:val="000153C9"/>
    <w:rsid w:val="00020505"/>
    <w:rsid w:val="00026270"/>
    <w:rsid w:val="0002651A"/>
    <w:rsid w:val="00031407"/>
    <w:rsid w:val="00031907"/>
    <w:rsid w:val="0003509D"/>
    <w:rsid w:val="00045590"/>
    <w:rsid w:val="00054EC4"/>
    <w:rsid w:val="00070A3C"/>
    <w:rsid w:val="00081422"/>
    <w:rsid w:val="000831D9"/>
    <w:rsid w:val="000901F3"/>
    <w:rsid w:val="0009599C"/>
    <w:rsid w:val="00097056"/>
    <w:rsid w:val="00097B47"/>
    <w:rsid w:val="000A2C7A"/>
    <w:rsid w:val="000B10A6"/>
    <w:rsid w:val="000B3413"/>
    <w:rsid w:val="000B55C5"/>
    <w:rsid w:val="000B59CB"/>
    <w:rsid w:val="000B6430"/>
    <w:rsid w:val="000B66C6"/>
    <w:rsid w:val="000B6A27"/>
    <w:rsid w:val="000C510B"/>
    <w:rsid w:val="000D4119"/>
    <w:rsid w:val="000D737E"/>
    <w:rsid w:val="000E498A"/>
    <w:rsid w:val="000E7559"/>
    <w:rsid w:val="000E7756"/>
    <w:rsid w:val="000E7987"/>
    <w:rsid w:val="000F235F"/>
    <w:rsid w:val="000F2A6A"/>
    <w:rsid w:val="000F443D"/>
    <w:rsid w:val="00101AB7"/>
    <w:rsid w:val="0010506E"/>
    <w:rsid w:val="001067FA"/>
    <w:rsid w:val="00106C7E"/>
    <w:rsid w:val="001078C4"/>
    <w:rsid w:val="00114F8E"/>
    <w:rsid w:val="00116AAC"/>
    <w:rsid w:val="00116ED3"/>
    <w:rsid w:val="00120BB5"/>
    <w:rsid w:val="0012286F"/>
    <w:rsid w:val="00124379"/>
    <w:rsid w:val="00126AE1"/>
    <w:rsid w:val="001270DE"/>
    <w:rsid w:val="001326F8"/>
    <w:rsid w:val="00132C6D"/>
    <w:rsid w:val="00136560"/>
    <w:rsid w:val="001376C8"/>
    <w:rsid w:val="00137A60"/>
    <w:rsid w:val="001413DB"/>
    <w:rsid w:val="00141986"/>
    <w:rsid w:val="00141B4D"/>
    <w:rsid w:val="001424C3"/>
    <w:rsid w:val="00146409"/>
    <w:rsid w:val="00152FF0"/>
    <w:rsid w:val="001537A8"/>
    <w:rsid w:val="001539B0"/>
    <w:rsid w:val="00153E14"/>
    <w:rsid w:val="00156AE4"/>
    <w:rsid w:val="001624D8"/>
    <w:rsid w:val="00172249"/>
    <w:rsid w:val="00190D0E"/>
    <w:rsid w:val="00195D68"/>
    <w:rsid w:val="0019625C"/>
    <w:rsid w:val="001966DC"/>
    <w:rsid w:val="00197C5A"/>
    <w:rsid w:val="001A0B7D"/>
    <w:rsid w:val="001A3BD2"/>
    <w:rsid w:val="001A5A7F"/>
    <w:rsid w:val="001A6305"/>
    <w:rsid w:val="001B23F0"/>
    <w:rsid w:val="001B2470"/>
    <w:rsid w:val="001B2F7A"/>
    <w:rsid w:val="001B35AA"/>
    <w:rsid w:val="001B7B9E"/>
    <w:rsid w:val="001C09B4"/>
    <w:rsid w:val="001C223E"/>
    <w:rsid w:val="001C33CF"/>
    <w:rsid w:val="001C4870"/>
    <w:rsid w:val="001C549C"/>
    <w:rsid w:val="001C6103"/>
    <w:rsid w:val="001D0FEA"/>
    <w:rsid w:val="001D320D"/>
    <w:rsid w:val="001D7AEE"/>
    <w:rsid w:val="001E147E"/>
    <w:rsid w:val="001E1DF5"/>
    <w:rsid w:val="001E318A"/>
    <w:rsid w:val="001E4E65"/>
    <w:rsid w:val="001F3EC0"/>
    <w:rsid w:val="001F7499"/>
    <w:rsid w:val="001F77A8"/>
    <w:rsid w:val="00200849"/>
    <w:rsid w:val="00210632"/>
    <w:rsid w:val="00211CFD"/>
    <w:rsid w:val="00212E94"/>
    <w:rsid w:val="00213DE6"/>
    <w:rsid w:val="0021631D"/>
    <w:rsid w:val="0021723D"/>
    <w:rsid w:val="002210EB"/>
    <w:rsid w:val="00222024"/>
    <w:rsid w:val="002248E0"/>
    <w:rsid w:val="00224DFE"/>
    <w:rsid w:val="002361D7"/>
    <w:rsid w:val="002379D2"/>
    <w:rsid w:val="00240A94"/>
    <w:rsid w:val="002420AD"/>
    <w:rsid w:val="00242265"/>
    <w:rsid w:val="00242BDA"/>
    <w:rsid w:val="002440ED"/>
    <w:rsid w:val="00244E51"/>
    <w:rsid w:val="0024605E"/>
    <w:rsid w:val="00254A99"/>
    <w:rsid w:val="00260A3D"/>
    <w:rsid w:val="002633CF"/>
    <w:rsid w:val="002662FC"/>
    <w:rsid w:val="00266389"/>
    <w:rsid w:val="00271C2B"/>
    <w:rsid w:val="00274FB2"/>
    <w:rsid w:val="0027786C"/>
    <w:rsid w:val="00280CD0"/>
    <w:rsid w:val="002820A7"/>
    <w:rsid w:val="00282CC4"/>
    <w:rsid w:val="002836AB"/>
    <w:rsid w:val="002859A4"/>
    <w:rsid w:val="00286421"/>
    <w:rsid w:val="002938BA"/>
    <w:rsid w:val="002956D6"/>
    <w:rsid w:val="002A1BB8"/>
    <w:rsid w:val="002A39A9"/>
    <w:rsid w:val="002B39A5"/>
    <w:rsid w:val="002B6675"/>
    <w:rsid w:val="002C2731"/>
    <w:rsid w:val="002D0265"/>
    <w:rsid w:val="002D0B2E"/>
    <w:rsid w:val="002D1D0A"/>
    <w:rsid w:val="002E7696"/>
    <w:rsid w:val="002F14BC"/>
    <w:rsid w:val="002F2E22"/>
    <w:rsid w:val="002F35BC"/>
    <w:rsid w:val="002F5000"/>
    <w:rsid w:val="002F766D"/>
    <w:rsid w:val="00301497"/>
    <w:rsid w:val="00304993"/>
    <w:rsid w:val="00304FAF"/>
    <w:rsid w:val="00305DCE"/>
    <w:rsid w:val="00307557"/>
    <w:rsid w:val="00307E7E"/>
    <w:rsid w:val="00310EB2"/>
    <w:rsid w:val="00315CCD"/>
    <w:rsid w:val="00325539"/>
    <w:rsid w:val="00336C35"/>
    <w:rsid w:val="00341D1B"/>
    <w:rsid w:val="003445B3"/>
    <w:rsid w:val="00344BE8"/>
    <w:rsid w:val="00352F43"/>
    <w:rsid w:val="00353362"/>
    <w:rsid w:val="00354C7C"/>
    <w:rsid w:val="00355199"/>
    <w:rsid w:val="00357879"/>
    <w:rsid w:val="0037336C"/>
    <w:rsid w:val="00373924"/>
    <w:rsid w:val="00375A80"/>
    <w:rsid w:val="00382B0D"/>
    <w:rsid w:val="00387C12"/>
    <w:rsid w:val="00390D11"/>
    <w:rsid w:val="00396ED4"/>
    <w:rsid w:val="003A12AE"/>
    <w:rsid w:val="003A220E"/>
    <w:rsid w:val="003A396C"/>
    <w:rsid w:val="003A4280"/>
    <w:rsid w:val="003B0804"/>
    <w:rsid w:val="003B3414"/>
    <w:rsid w:val="003B4514"/>
    <w:rsid w:val="003B7D46"/>
    <w:rsid w:val="003C00C1"/>
    <w:rsid w:val="003C20C6"/>
    <w:rsid w:val="003C3974"/>
    <w:rsid w:val="003C3F59"/>
    <w:rsid w:val="003D155D"/>
    <w:rsid w:val="003D1D3D"/>
    <w:rsid w:val="003D208F"/>
    <w:rsid w:val="003D32CB"/>
    <w:rsid w:val="003D4297"/>
    <w:rsid w:val="003D6C21"/>
    <w:rsid w:val="003D7893"/>
    <w:rsid w:val="003E28DD"/>
    <w:rsid w:val="003E2FC9"/>
    <w:rsid w:val="003F1396"/>
    <w:rsid w:val="003F4506"/>
    <w:rsid w:val="003F46FA"/>
    <w:rsid w:val="003F6042"/>
    <w:rsid w:val="003F7913"/>
    <w:rsid w:val="00400FFD"/>
    <w:rsid w:val="004041AA"/>
    <w:rsid w:val="00411BE3"/>
    <w:rsid w:val="00414063"/>
    <w:rsid w:val="004167B8"/>
    <w:rsid w:val="00430AAD"/>
    <w:rsid w:val="00432D1F"/>
    <w:rsid w:val="004331F3"/>
    <w:rsid w:val="00441C02"/>
    <w:rsid w:val="00443AA2"/>
    <w:rsid w:val="00445D16"/>
    <w:rsid w:val="0044686D"/>
    <w:rsid w:val="00446C3A"/>
    <w:rsid w:val="00451DBF"/>
    <w:rsid w:val="00455882"/>
    <w:rsid w:val="0045678F"/>
    <w:rsid w:val="00456A24"/>
    <w:rsid w:val="00460EC6"/>
    <w:rsid w:val="004621E7"/>
    <w:rsid w:val="00462BDE"/>
    <w:rsid w:val="004639EF"/>
    <w:rsid w:val="004655E4"/>
    <w:rsid w:val="0046676E"/>
    <w:rsid w:val="004704BD"/>
    <w:rsid w:val="004742DF"/>
    <w:rsid w:val="00475A00"/>
    <w:rsid w:val="00475EC8"/>
    <w:rsid w:val="00476171"/>
    <w:rsid w:val="00486021"/>
    <w:rsid w:val="004870C9"/>
    <w:rsid w:val="00490641"/>
    <w:rsid w:val="004A289D"/>
    <w:rsid w:val="004A6348"/>
    <w:rsid w:val="004A6E6E"/>
    <w:rsid w:val="004A76DD"/>
    <w:rsid w:val="004A76F5"/>
    <w:rsid w:val="004A7EF7"/>
    <w:rsid w:val="004B1F44"/>
    <w:rsid w:val="004C13DE"/>
    <w:rsid w:val="004C154F"/>
    <w:rsid w:val="004D2F20"/>
    <w:rsid w:val="004D46EC"/>
    <w:rsid w:val="004D5449"/>
    <w:rsid w:val="004E040B"/>
    <w:rsid w:val="004E294A"/>
    <w:rsid w:val="004E6917"/>
    <w:rsid w:val="004F0CB9"/>
    <w:rsid w:val="004F1F0F"/>
    <w:rsid w:val="004F71F1"/>
    <w:rsid w:val="00500BEF"/>
    <w:rsid w:val="00504637"/>
    <w:rsid w:val="00510712"/>
    <w:rsid w:val="005109C4"/>
    <w:rsid w:val="00516528"/>
    <w:rsid w:val="005169AD"/>
    <w:rsid w:val="00520D44"/>
    <w:rsid w:val="00523BC9"/>
    <w:rsid w:val="00527E8C"/>
    <w:rsid w:val="00534E24"/>
    <w:rsid w:val="00547956"/>
    <w:rsid w:val="0055492F"/>
    <w:rsid w:val="0055515F"/>
    <w:rsid w:val="00561F61"/>
    <w:rsid w:val="005711E6"/>
    <w:rsid w:val="00583288"/>
    <w:rsid w:val="005844A3"/>
    <w:rsid w:val="00586287"/>
    <w:rsid w:val="005876AE"/>
    <w:rsid w:val="00590EC4"/>
    <w:rsid w:val="00592906"/>
    <w:rsid w:val="00595EE0"/>
    <w:rsid w:val="00596F3D"/>
    <w:rsid w:val="00597665"/>
    <w:rsid w:val="005A1387"/>
    <w:rsid w:val="005A6CB5"/>
    <w:rsid w:val="005A7F93"/>
    <w:rsid w:val="005B0816"/>
    <w:rsid w:val="005B0D0D"/>
    <w:rsid w:val="005B3F45"/>
    <w:rsid w:val="005B7956"/>
    <w:rsid w:val="005C3EB6"/>
    <w:rsid w:val="005C5BCD"/>
    <w:rsid w:val="005C721B"/>
    <w:rsid w:val="005D2BB9"/>
    <w:rsid w:val="005D61AB"/>
    <w:rsid w:val="005D64F9"/>
    <w:rsid w:val="005E0A06"/>
    <w:rsid w:val="005E0DC0"/>
    <w:rsid w:val="005E1112"/>
    <w:rsid w:val="005E3011"/>
    <w:rsid w:val="005E42F2"/>
    <w:rsid w:val="005F29CB"/>
    <w:rsid w:val="005F6520"/>
    <w:rsid w:val="005F6CB5"/>
    <w:rsid w:val="005F7ED9"/>
    <w:rsid w:val="00600D7F"/>
    <w:rsid w:val="00600F61"/>
    <w:rsid w:val="00601174"/>
    <w:rsid w:val="00602D32"/>
    <w:rsid w:val="00606FBC"/>
    <w:rsid w:val="00617767"/>
    <w:rsid w:val="00620496"/>
    <w:rsid w:val="00622411"/>
    <w:rsid w:val="00624EBE"/>
    <w:rsid w:val="0062514E"/>
    <w:rsid w:val="00625259"/>
    <w:rsid w:val="0062554B"/>
    <w:rsid w:val="00625D5B"/>
    <w:rsid w:val="00630389"/>
    <w:rsid w:val="006331B5"/>
    <w:rsid w:val="00636EC2"/>
    <w:rsid w:val="00637BA2"/>
    <w:rsid w:val="00640994"/>
    <w:rsid w:val="00640F1A"/>
    <w:rsid w:val="0064103F"/>
    <w:rsid w:val="006425DF"/>
    <w:rsid w:val="006556F7"/>
    <w:rsid w:val="006563ED"/>
    <w:rsid w:val="006571B8"/>
    <w:rsid w:val="00665DB0"/>
    <w:rsid w:val="00666CB3"/>
    <w:rsid w:val="00667154"/>
    <w:rsid w:val="00672502"/>
    <w:rsid w:val="00677E6F"/>
    <w:rsid w:val="006820E4"/>
    <w:rsid w:val="00682824"/>
    <w:rsid w:val="00683272"/>
    <w:rsid w:val="00683DD6"/>
    <w:rsid w:val="00684118"/>
    <w:rsid w:val="00686BD5"/>
    <w:rsid w:val="006A0159"/>
    <w:rsid w:val="006A051C"/>
    <w:rsid w:val="006A264C"/>
    <w:rsid w:val="006A6D74"/>
    <w:rsid w:val="006A6F5E"/>
    <w:rsid w:val="006A7FB6"/>
    <w:rsid w:val="006B338A"/>
    <w:rsid w:val="006C255C"/>
    <w:rsid w:val="006C2A51"/>
    <w:rsid w:val="006C3653"/>
    <w:rsid w:val="006D2E51"/>
    <w:rsid w:val="006D5640"/>
    <w:rsid w:val="006D6323"/>
    <w:rsid w:val="006E4571"/>
    <w:rsid w:val="006E69F1"/>
    <w:rsid w:val="006F2C3E"/>
    <w:rsid w:val="006F4E30"/>
    <w:rsid w:val="006F527C"/>
    <w:rsid w:val="007005CC"/>
    <w:rsid w:val="00702DC9"/>
    <w:rsid w:val="007031DE"/>
    <w:rsid w:val="00703205"/>
    <w:rsid w:val="007063B1"/>
    <w:rsid w:val="00711583"/>
    <w:rsid w:val="0071580A"/>
    <w:rsid w:val="00721120"/>
    <w:rsid w:val="007213A8"/>
    <w:rsid w:val="007249EE"/>
    <w:rsid w:val="00725F8E"/>
    <w:rsid w:val="007346E3"/>
    <w:rsid w:val="00735089"/>
    <w:rsid w:val="00740B62"/>
    <w:rsid w:val="00741B6C"/>
    <w:rsid w:val="007423FF"/>
    <w:rsid w:val="00744801"/>
    <w:rsid w:val="0074780C"/>
    <w:rsid w:val="0075156F"/>
    <w:rsid w:val="00751FCE"/>
    <w:rsid w:val="0075480F"/>
    <w:rsid w:val="00764570"/>
    <w:rsid w:val="00764D15"/>
    <w:rsid w:val="0076776B"/>
    <w:rsid w:val="007710FC"/>
    <w:rsid w:val="00775116"/>
    <w:rsid w:val="00780E48"/>
    <w:rsid w:val="00781858"/>
    <w:rsid w:val="007847D7"/>
    <w:rsid w:val="00790A1D"/>
    <w:rsid w:val="00790E14"/>
    <w:rsid w:val="00792367"/>
    <w:rsid w:val="00793E40"/>
    <w:rsid w:val="0079709A"/>
    <w:rsid w:val="007A50D3"/>
    <w:rsid w:val="007A595B"/>
    <w:rsid w:val="007A6651"/>
    <w:rsid w:val="007B129B"/>
    <w:rsid w:val="007B60EF"/>
    <w:rsid w:val="007B6CC0"/>
    <w:rsid w:val="007C2874"/>
    <w:rsid w:val="007D6112"/>
    <w:rsid w:val="007E20E7"/>
    <w:rsid w:val="007E409F"/>
    <w:rsid w:val="007E6137"/>
    <w:rsid w:val="007F0F62"/>
    <w:rsid w:val="007F1038"/>
    <w:rsid w:val="007F138A"/>
    <w:rsid w:val="007F70E0"/>
    <w:rsid w:val="007F72D0"/>
    <w:rsid w:val="007F7BCD"/>
    <w:rsid w:val="00800E8A"/>
    <w:rsid w:val="008020D4"/>
    <w:rsid w:val="00804AEA"/>
    <w:rsid w:val="008068A5"/>
    <w:rsid w:val="008103F3"/>
    <w:rsid w:val="00815CCE"/>
    <w:rsid w:val="00822587"/>
    <w:rsid w:val="00822B86"/>
    <w:rsid w:val="00831A5E"/>
    <w:rsid w:val="00831F7C"/>
    <w:rsid w:val="00843241"/>
    <w:rsid w:val="00843C99"/>
    <w:rsid w:val="00845A5F"/>
    <w:rsid w:val="00846533"/>
    <w:rsid w:val="00847D0F"/>
    <w:rsid w:val="008505D3"/>
    <w:rsid w:val="00850F3B"/>
    <w:rsid w:val="0085672D"/>
    <w:rsid w:val="00872E69"/>
    <w:rsid w:val="00873562"/>
    <w:rsid w:val="00873834"/>
    <w:rsid w:val="008741B3"/>
    <w:rsid w:val="00874EE0"/>
    <w:rsid w:val="00884128"/>
    <w:rsid w:val="008914F3"/>
    <w:rsid w:val="00892E29"/>
    <w:rsid w:val="00896D1F"/>
    <w:rsid w:val="008A11EF"/>
    <w:rsid w:val="008A1D4D"/>
    <w:rsid w:val="008A4CCD"/>
    <w:rsid w:val="008A5F1A"/>
    <w:rsid w:val="008B2CB8"/>
    <w:rsid w:val="008C13D6"/>
    <w:rsid w:val="008C262A"/>
    <w:rsid w:val="008C26E6"/>
    <w:rsid w:val="008C4C48"/>
    <w:rsid w:val="008D0904"/>
    <w:rsid w:val="008D0DAB"/>
    <w:rsid w:val="008D0FCC"/>
    <w:rsid w:val="008D1A49"/>
    <w:rsid w:val="008D2ED6"/>
    <w:rsid w:val="008D7D04"/>
    <w:rsid w:val="008D7F86"/>
    <w:rsid w:val="008E2B12"/>
    <w:rsid w:val="008E348D"/>
    <w:rsid w:val="008E673E"/>
    <w:rsid w:val="008E7009"/>
    <w:rsid w:val="008F007F"/>
    <w:rsid w:val="008F44D9"/>
    <w:rsid w:val="00900922"/>
    <w:rsid w:val="009029BA"/>
    <w:rsid w:val="0090332F"/>
    <w:rsid w:val="00910A2E"/>
    <w:rsid w:val="0091303E"/>
    <w:rsid w:val="009250D7"/>
    <w:rsid w:val="009352A5"/>
    <w:rsid w:val="009401C8"/>
    <w:rsid w:val="0094185C"/>
    <w:rsid w:val="009431B5"/>
    <w:rsid w:val="00943D36"/>
    <w:rsid w:val="00945080"/>
    <w:rsid w:val="0094744D"/>
    <w:rsid w:val="00952986"/>
    <w:rsid w:val="0095325A"/>
    <w:rsid w:val="009574E8"/>
    <w:rsid w:val="00957E9C"/>
    <w:rsid w:val="00962BD5"/>
    <w:rsid w:val="009711A2"/>
    <w:rsid w:val="009727B0"/>
    <w:rsid w:val="009744BE"/>
    <w:rsid w:val="00976ABF"/>
    <w:rsid w:val="00980D0B"/>
    <w:rsid w:val="0098320F"/>
    <w:rsid w:val="00985027"/>
    <w:rsid w:val="009858F2"/>
    <w:rsid w:val="009874CC"/>
    <w:rsid w:val="00991FC3"/>
    <w:rsid w:val="00995DEA"/>
    <w:rsid w:val="0099746F"/>
    <w:rsid w:val="00997806"/>
    <w:rsid w:val="009B3317"/>
    <w:rsid w:val="009B504A"/>
    <w:rsid w:val="009D0CB4"/>
    <w:rsid w:val="009D1CB9"/>
    <w:rsid w:val="009D1EC6"/>
    <w:rsid w:val="009D2C5D"/>
    <w:rsid w:val="009D5214"/>
    <w:rsid w:val="009D5724"/>
    <w:rsid w:val="009D701E"/>
    <w:rsid w:val="009D746A"/>
    <w:rsid w:val="009E0719"/>
    <w:rsid w:val="009F2CE1"/>
    <w:rsid w:val="00A058F8"/>
    <w:rsid w:val="00A14067"/>
    <w:rsid w:val="00A21570"/>
    <w:rsid w:val="00A21EF8"/>
    <w:rsid w:val="00A2277C"/>
    <w:rsid w:val="00A231FD"/>
    <w:rsid w:val="00A23549"/>
    <w:rsid w:val="00A2597F"/>
    <w:rsid w:val="00A26B20"/>
    <w:rsid w:val="00A30B09"/>
    <w:rsid w:val="00A3785F"/>
    <w:rsid w:val="00A4029E"/>
    <w:rsid w:val="00A41C19"/>
    <w:rsid w:val="00A42C24"/>
    <w:rsid w:val="00A46676"/>
    <w:rsid w:val="00A477F6"/>
    <w:rsid w:val="00A47B11"/>
    <w:rsid w:val="00A71B3F"/>
    <w:rsid w:val="00A71C82"/>
    <w:rsid w:val="00A7367F"/>
    <w:rsid w:val="00A741F4"/>
    <w:rsid w:val="00A75996"/>
    <w:rsid w:val="00A76A27"/>
    <w:rsid w:val="00A811D0"/>
    <w:rsid w:val="00A83752"/>
    <w:rsid w:val="00A92B84"/>
    <w:rsid w:val="00AA3790"/>
    <w:rsid w:val="00AA42BC"/>
    <w:rsid w:val="00AB3DDA"/>
    <w:rsid w:val="00AB43DD"/>
    <w:rsid w:val="00AB7730"/>
    <w:rsid w:val="00AC5AFB"/>
    <w:rsid w:val="00AD5EBD"/>
    <w:rsid w:val="00AD7B9E"/>
    <w:rsid w:val="00AE6B72"/>
    <w:rsid w:val="00AF2E0C"/>
    <w:rsid w:val="00AF5C09"/>
    <w:rsid w:val="00AF7733"/>
    <w:rsid w:val="00B02E66"/>
    <w:rsid w:val="00B0557B"/>
    <w:rsid w:val="00B057E6"/>
    <w:rsid w:val="00B06DC9"/>
    <w:rsid w:val="00B11645"/>
    <w:rsid w:val="00B16AE5"/>
    <w:rsid w:val="00B2001D"/>
    <w:rsid w:val="00B2077D"/>
    <w:rsid w:val="00B267CB"/>
    <w:rsid w:val="00B32638"/>
    <w:rsid w:val="00B329D3"/>
    <w:rsid w:val="00B340F3"/>
    <w:rsid w:val="00B352A4"/>
    <w:rsid w:val="00B37289"/>
    <w:rsid w:val="00B378D5"/>
    <w:rsid w:val="00B42DC2"/>
    <w:rsid w:val="00B43867"/>
    <w:rsid w:val="00B47A30"/>
    <w:rsid w:val="00B5096C"/>
    <w:rsid w:val="00B518BF"/>
    <w:rsid w:val="00B565EF"/>
    <w:rsid w:val="00B5784A"/>
    <w:rsid w:val="00B6067C"/>
    <w:rsid w:val="00B61002"/>
    <w:rsid w:val="00B62298"/>
    <w:rsid w:val="00B64485"/>
    <w:rsid w:val="00B64566"/>
    <w:rsid w:val="00B657A3"/>
    <w:rsid w:val="00B70AAC"/>
    <w:rsid w:val="00B72401"/>
    <w:rsid w:val="00B73820"/>
    <w:rsid w:val="00B819D9"/>
    <w:rsid w:val="00B82B99"/>
    <w:rsid w:val="00B86B2A"/>
    <w:rsid w:val="00B8755A"/>
    <w:rsid w:val="00B877A6"/>
    <w:rsid w:val="00B877D6"/>
    <w:rsid w:val="00B87E40"/>
    <w:rsid w:val="00B900A1"/>
    <w:rsid w:val="00B951BB"/>
    <w:rsid w:val="00B960DC"/>
    <w:rsid w:val="00BA5BCE"/>
    <w:rsid w:val="00BA5F02"/>
    <w:rsid w:val="00BB7E87"/>
    <w:rsid w:val="00BC17B4"/>
    <w:rsid w:val="00BC6D2C"/>
    <w:rsid w:val="00BD1217"/>
    <w:rsid w:val="00BD30FA"/>
    <w:rsid w:val="00BD510A"/>
    <w:rsid w:val="00BE1A9A"/>
    <w:rsid w:val="00BE1F18"/>
    <w:rsid w:val="00BE3A97"/>
    <w:rsid w:val="00BE4200"/>
    <w:rsid w:val="00BF2134"/>
    <w:rsid w:val="00BF281F"/>
    <w:rsid w:val="00BF3B75"/>
    <w:rsid w:val="00BF5112"/>
    <w:rsid w:val="00C015C8"/>
    <w:rsid w:val="00C025D0"/>
    <w:rsid w:val="00C04568"/>
    <w:rsid w:val="00C061E7"/>
    <w:rsid w:val="00C079DD"/>
    <w:rsid w:val="00C129D8"/>
    <w:rsid w:val="00C16127"/>
    <w:rsid w:val="00C161B7"/>
    <w:rsid w:val="00C20C17"/>
    <w:rsid w:val="00C21B7E"/>
    <w:rsid w:val="00C236E4"/>
    <w:rsid w:val="00C24B1F"/>
    <w:rsid w:val="00C24BE5"/>
    <w:rsid w:val="00C32F1C"/>
    <w:rsid w:val="00C33A01"/>
    <w:rsid w:val="00C36271"/>
    <w:rsid w:val="00C37AAE"/>
    <w:rsid w:val="00C4247F"/>
    <w:rsid w:val="00C43623"/>
    <w:rsid w:val="00C50610"/>
    <w:rsid w:val="00C550EE"/>
    <w:rsid w:val="00C56A00"/>
    <w:rsid w:val="00C573F6"/>
    <w:rsid w:val="00C63AD2"/>
    <w:rsid w:val="00C6493B"/>
    <w:rsid w:val="00C64996"/>
    <w:rsid w:val="00C650CE"/>
    <w:rsid w:val="00C662E1"/>
    <w:rsid w:val="00C66CE1"/>
    <w:rsid w:val="00C70A6A"/>
    <w:rsid w:val="00C71709"/>
    <w:rsid w:val="00C71A9B"/>
    <w:rsid w:val="00C72526"/>
    <w:rsid w:val="00C755E8"/>
    <w:rsid w:val="00C76788"/>
    <w:rsid w:val="00C76ECF"/>
    <w:rsid w:val="00C8115D"/>
    <w:rsid w:val="00C8179F"/>
    <w:rsid w:val="00C83F80"/>
    <w:rsid w:val="00C84301"/>
    <w:rsid w:val="00C8556A"/>
    <w:rsid w:val="00C94E82"/>
    <w:rsid w:val="00C95D52"/>
    <w:rsid w:val="00C96C32"/>
    <w:rsid w:val="00C97620"/>
    <w:rsid w:val="00C97FDA"/>
    <w:rsid w:val="00CA2D90"/>
    <w:rsid w:val="00CA7B96"/>
    <w:rsid w:val="00CB4944"/>
    <w:rsid w:val="00CC3C80"/>
    <w:rsid w:val="00CC7A50"/>
    <w:rsid w:val="00CD1D36"/>
    <w:rsid w:val="00CD268F"/>
    <w:rsid w:val="00CD277F"/>
    <w:rsid w:val="00CD44C0"/>
    <w:rsid w:val="00CE28B7"/>
    <w:rsid w:val="00CE6851"/>
    <w:rsid w:val="00CE7BBE"/>
    <w:rsid w:val="00CF4AA1"/>
    <w:rsid w:val="00CF4FED"/>
    <w:rsid w:val="00D016F7"/>
    <w:rsid w:val="00D05623"/>
    <w:rsid w:val="00D06699"/>
    <w:rsid w:val="00D11F0B"/>
    <w:rsid w:val="00D17A3F"/>
    <w:rsid w:val="00D20F92"/>
    <w:rsid w:val="00D22A8D"/>
    <w:rsid w:val="00D24D3F"/>
    <w:rsid w:val="00D34297"/>
    <w:rsid w:val="00D42C90"/>
    <w:rsid w:val="00D43326"/>
    <w:rsid w:val="00D477A7"/>
    <w:rsid w:val="00D6638B"/>
    <w:rsid w:val="00D66FE0"/>
    <w:rsid w:val="00D701F2"/>
    <w:rsid w:val="00D70DCF"/>
    <w:rsid w:val="00D746A2"/>
    <w:rsid w:val="00D91459"/>
    <w:rsid w:val="00DA1E11"/>
    <w:rsid w:val="00DA25E5"/>
    <w:rsid w:val="00DA2C66"/>
    <w:rsid w:val="00DA3347"/>
    <w:rsid w:val="00DA4807"/>
    <w:rsid w:val="00DA4A5E"/>
    <w:rsid w:val="00DA534A"/>
    <w:rsid w:val="00DA7B0B"/>
    <w:rsid w:val="00DB35BD"/>
    <w:rsid w:val="00DB4438"/>
    <w:rsid w:val="00DB7E58"/>
    <w:rsid w:val="00DC0309"/>
    <w:rsid w:val="00DC1D8B"/>
    <w:rsid w:val="00DC758F"/>
    <w:rsid w:val="00DD08AD"/>
    <w:rsid w:val="00DD1087"/>
    <w:rsid w:val="00DD528F"/>
    <w:rsid w:val="00DD602B"/>
    <w:rsid w:val="00DE2669"/>
    <w:rsid w:val="00DE378C"/>
    <w:rsid w:val="00DE3C15"/>
    <w:rsid w:val="00DE4CA1"/>
    <w:rsid w:val="00DE7D26"/>
    <w:rsid w:val="00DE7DE5"/>
    <w:rsid w:val="00DF068A"/>
    <w:rsid w:val="00DF102F"/>
    <w:rsid w:val="00DF325E"/>
    <w:rsid w:val="00DF4A29"/>
    <w:rsid w:val="00DF5647"/>
    <w:rsid w:val="00E00BD8"/>
    <w:rsid w:val="00E016AE"/>
    <w:rsid w:val="00E0211C"/>
    <w:rsid w:val="00E05B00"/>
    <w:rsid w:val="00E06A05"/>
    <w:rsid w:val="00E07C43"/>
    <w:rsid w:val="00E12AB2"/>
    <w:rsid w:val="00E138B6"/>
    <w:rsid w:val="00E13E2E"/>
    <w:rsid w:val="00E15BF6"/>
    <w:rsid w:val="00E1697D"/>
    <w:rsid w:val="00E16D0D"/>
    <w:rsid w:val="00E2068E"/>
    <w:rsid w:val="00E22551"/>
    <w:rsid w:val="00E22594"/>
    <w:rsid w:val="00E23BA5"/>
    <w:rsid w:val="00E27593"/>
    <w:rsid w:val="00E32973"/>
    <w:rsid w:val="00E3343E"/>
    <w:rsid w:val="00E36AD4"/>
    <w:rsid w:val="00E406E0"/>
    <w:rsid w:val="00E40D25"/>
    <w:rsid w:val="00E41C6C"/>
    <w:rsid w:val="00E42862"/>
    <w:rsid w:val="00E42B74"/>
    <w:rsid w:val="00E44DD3"/>
    <w:rsid w:val="00E5079A"/>
    <w:rsid w:val="00E6423C"/>
    <w:rsid w:val="00E71D83"/>
    <w:rsid w:val="00E73B5D"/>
    <w:rsid w:val="00E76582"/>
    <w:rsid w:val="00E77CA6"/>
    <w:rsid w:val="00E80418"/>
    <w:rsid w:val="00E85014"/>
    <w:rsid w:val="00E866EC"/>
    <w:rsid w:val="00E875B5"/>
    <w:rsid w:val="00E90370"/>
    <w:rsid w:val="00E91DA7"/>
    <w:rsid w:val="00E9391D"/>
    <w:rsid w:val="00EA021F"/>
    <w:rsid w:val="00EA0F4A"/>
    <w:rsid w:val="00EA38B2"/>
    <w:rsid w:val="00EB26BC"/>
    <w:rsid w:val="00EB2E4B"/>
    <w:rsid w:val="00EB2FAA"/>
    <w:rsid w:val="00EB4E09"/>
    <w:rsid w:val="00ED1408"/>
    <w:rsid w:val="00ED5B51"/>
    <w:rsid w:val="00ED5EF9"/>
    <w:rsid w:val="00ED7348"/>
    <w:rsid w:val="00EE489B"/>
    <w:rsid w:val="00EE69C7"/>
    <w:rsid w:val="00EE7709"/>
    <w:rsid w:val="00EE7791"/>
    <w:rsid w:val="00EE7B40"/>
    <w:rsid w:val="00EF29FB"/>
    <w:rsid w:val="00EF37FB"/>
    <w:rsid w:val="00EF4FCC"/>
    <w:rsid w:val="00EF6205"/>
    <w:rsid w:val="00EF7643"/>
    <w:rsid w:val="00F044B7"/>
    <w:rsid w:val="00F07EDB"/>
    <w:rsid w:val="00F17D51"/>
    <w:rsid w:val="00F21863"/>
    <w:rsid w:val="00F25111"/>
    <w:rsid w:val="00F410DF"/>
    <w:rsid w:val="00F430B7"/>
    <w:rsid w:val="00F43D70"/>
    <w:rsid w:val="00F474E1"/>
    <w:rsid w:val="00F52B64"/>
    <w:rsid w:val="00F55347"/>
    <w:rsid w:val="00F6055E"/>
    <w:rsid w:val="00F70CB2"/>
    <w:rsid w:val="00F734CA"/>
    <w:rsid w:val="00F747D0"/>
    <w:rsid w:val="00F81E52"/>
    <w:rsid w:val="00F8260E"/>
    <w:rsid w:val="00F93CF4"/>
    <w:rsid w:val="00F9739B"/>
    <w:rsid w:val="00FA082E"/>
    <w:rsid w:val="00FA296E"/>
    <w:rsid w:val="00FA2C12"/>
    <w:rsid w:val="00FA37CD"/>
    <w:rsid w:val="00FA78EB"/>
    <w:rsid w:val="00FB0158"/>
    <w:rsid w:val="00FC27F7"/>
    <w:rsid w:val="00FC5A0E"/>
    <w:rsid w:val="00FD1C0B"/>
    <w:rsid w:val="00FD365E"/>
    <w:rsid w:val="00FD367D"/>
    <w:rsid w:val="00FD4E58"/>
    <w:rsid w:val="00FE15ED"/>
    <w:rsid w:val="00FE23D6"/>
    <w:rsid w:val="00FE2B28"/>
    <w:rsid w:val="00FE59BA"/>
    <w:rsid w:val="00FE5AAD"/>
    <w:rsid w:val="00FF2CA0"/>
    <w:rsid w:val="00FF39C2"/>
    <w:rsid w:val="00FF4CF7"/>
    <w:rsid w:val="00FF7528"/>
    <w:rsid w:val="0F8A21F0"/>
    <w:rsid w:val="3FE5373F"/>
    <w:rsid w:val="448979B4"/>
    <w:rsid w:val="537A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777"/>
      </w:tabs>
      <w:spacing w:line="500" w:lineRule="exact"/>
    </w:pPr>
    <w:rPr>
      <w:rFonts w:eastAsia="仿宋_GB2312"/>
      <w:b/>
      <w:bCs/>
      <w:sz w:val="30"/>
      <w:szCs w:val="30"/>
    </w:rPr>
  </w:style>
  <w:style w:type="paragraph" w:styleId="8">
    <w:name w:val="toc 2"/>
    <w:basedOn w:val="1"/>
    <w:next w:val="1"/>
    <w:unhideWhenUsed/>
    <w:qFormat/>
    <w:uiPriority w:val="39"/>
    <w:pPr>
      <w:ind w:left="420" w:left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customStyle="1" w:styleId="13">
    <w:name w:val="页眉 Char"/>
    <w:basedOn w:val="11"/>
    <w:link w:val="6"/>
    <w:qFormat/>
    <w:uiPriority w:val="99"/>
    <w:rPr>
      <w:rFonts w:eastAsia="宋体" w:cs="Times New Roman"/>
      <w:sz w:val="18"/>
      <w:szCs w:val="18"/>
    </w:rPr>
  </w:style>
  <w:style w:type="character" w:customStyle="1" w:styleId="14">
    <w:name w:val="页脚 Char"/>
    <w:basedOn w:val="11"/>
    <w:link w:val="5"/>
    <w:qFormat/>
    <w:uiPriority w:val="99"/>
    <w:rPr>
      <w:rFonts w:eastAsia="宋体" w:cs="Times New Roman"/>
      <w:sz w:val="18"/>
      <w:szCs w:val="18"/>
    </w:rPr>
  </w:style>
  <w:style w:type="character" w:customStyle="1" w:styleId="15">
    <w:name w:val="标题 1 Char"/>
    <w:basedOn w:val="11"/>
    <w:link w:val="2"/>
    <w:uiPriority w:val="9"/>
    <w:rPr>
      <w:rFonts w:eastAsia="宋体" w:cs="Times New Roman"/>
      <w:b/>
      <w:bCs/>
      <w:kern w:val="44"/>
      <w:sz w:val="44"/>
      <w:szCs w:val="44"/>
    </w:rPr>
  </w:style>
  <w:style w:type="character" w:customStyle="1" w:styleId="16">
    <w:name w:val="标题 2 Char"/>
    <w:basedOn w:val="11"/>
    <w:link w:val="3"/>
    <w:semiHidden/>
    <w:uiPriority w:val="9"/>
    <w:rPr>
      <w:rFonts w:asciiTheme="majorHAnsi" w:hAnsiTheme="majorHAnsi" w:eastAsiaTheme="majorEastAsia" w:cstheme="majorBidi"/>
      <w:b/>
      <w:bCs/>
      <w:szCs w:val="32"/>
    </w:rPr>
  </w:style>
  <w:style w:type="paragraph" w:styleId="17">
    <w:name w:val="List Paragraph"/>
    <w:basedOn w:val="1"/>
    <w:qFormat/>
    <w:uiPriority w:val="34"/>
    <w:pPr>
      <w:ind w:firstLine="420" w:firstLineChars="200"/>
    </w:pPr>
  </w:style>
  <w:style w:type="paragraph" w:customStyle="1" w:styleId="18">
    <w:name w:val="Char Char1 Char Char Char Char Char Char Char Char Char Char Char Char Char Char"/>
    <w:basedOn w:val="1"/>
    <w:qFormat/>
    <w:uiPriority w:val="0"/>
    <w:pPr>
      <w:widowControl/>
      <w:spacing w:after="160" w:line="240" w:lineRule="exact"/>
      <w:jc w:val="left"/>
    </w:pPr>
    <w:rPr>
      <w:rFonts w:ascii="Calibri" w:hAnsi="Calibri"/>
      <w:szCs w:val="24"/>
    </w:rPr>
  </w:style>
  <w:style w:type="character" w:customStyle="1" w:styleId="19">
    <w:name w:val="批注框文本 Char"/>
    <w:basedOn w:val="11"/>
    <w:link w:val="4"/>
    <w:semiHidden/>
    <w:qFormat/>
    <w:uiPriority w:val="99"/>
    <w:rPr>
      <w:rFonts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C61E1-9EFE-4FCB-A97A-06399187E4F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65</Pages>
  <Words>28768</Words>
  <Characters>29127</Characters>
  <Lines>230</Lines>
  <Paragraphs>64</Paragraphs>
  <TotalTime>875</TotalTime>
  <ScaleCrop>false</ScaleCrop>
  <LinksUpToDate>false</LinksUpToDate>
  <CharactersWithSpaces>29297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2021-12-16T11:24:00Z</dcterms:created>
  <dc:creator>Windows User</dc:creator>
  <cp:lastModifiedBy>Administrator</cp:lastModifiedBy>
  <cp:lastPrinted>2022-07-12T13:55:00Z</cp:lastPrinted>
  <dcterms:modified xsi:type="dcterms:W3CDTF">2022-10-27T02:54:43Z</dcterms:modified>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E818A3C3C8BE4BA2B410B1126505581D</vt:lpwstr>
  </property>
</Properties>
</file>