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52"/>
          <w:szCs w:val="52"/>
        </w:rPr>
      </w:pPr>
    </w:p>
    <w:p>
      <w:pPr>
        <w:jc w:val="center"/>
        <w:rPr>
          <w:b/>
          <w:bCs/>
          <w:color w:val="auto"/>
          <w:sz w:val="52"/>
          <w:szCs w:val="52"/>
        </w:rPr>
      </w:pPr>
      <w:r>
        <w:rPr>
          <w:rFonts w:hint="eastAsia"/>
          <w:b/>
          <w:bCs/>
          <w:color w:val="auto"/>
          <w:sz w:val="52"/>
          <w:szCs w:val="52"/>
        </w:rPr>
        <w:t>阳城县</w:t>
      </w:r>
      <w:r>
        <w:rPr>
          <w:rFonts w:hint="eastAsia"/>
          <w:b/>
          <w:bCs/>
          <w:color w:val="auto"/>
          <w:sz w:val="52"/>
          <w:szCs w:val="52"/>
        </w:rPr>
        <w:t>“十四五”</w:t>
      </w:r>
      <w:r>
        <w:rPr>
          <w:rFonts w:hint="eastAsia"/>
          <w:b/>
          <w:bCs/>
          <w:color w:val="auto"/>
          <w:sz w:val="52"/>
          <w:szCs w:val="52"/>
        </w:rPr>
        <w:t>新业态</w:t>
      </w:r>
      <w:r>
        <w:rPr>
          <w:rFonts w:hint="eastAsia"/>
          <w:b/>
          <w:bCs/>
          <w:color w:val="auto"/>
          <w:sz w:val="52"/>
          <w:szCs w:val="52"/>
          <w:lang w:val="en-US" w:eastAsia="zh-CN"/>
        </w:rPr>
        <w:t>发展</w:t>
      </w:r>
      <w:r>
        <w:rPr>
          <w:rFonts w:hint="eastAsia"/>
          <w:b/>
          <w:bCs/>
          <w:color w:val="auto"/>
          <w:sz w:val="52"/>
          <w:szCs w:val="52"/>
        </w:rPr>
        <w:t>规划</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bookmarkStart w:id="39" w:name="_GoBack"/>
      <w:bookmarkEnd w:id="39"/>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b/>
          <w:bCs/>
          <w:color w:val="auto"/>
          <w:sz w:val="52"/>
          <w:szCs w:val="52"/>
        </w:rPr>
      </w:pPr>
      <w:r>
        <w:rPr>
          <w:rFonts w:hint="eastAsia"/>
          <w:b/>
          <w:bCs/>
          <w:color w:val="auto"/>
          <w:sz w:val="52"/>
          <w:szCs w:val="52"/>
        </w:rPr>
        <w:t>阳城县发展和改革局</w:t>
      </w:r>
    </w:p>
    <w:p>
      <w:pPr>
        <w:jc w:val="center"/>
        <w:rPr>
          <w:b/>
          <w:bCs/>
          <w:color w:val="auto"/>
          <w:sz w:val="52"/>
          <w:szCs w:val="52"/>
        </w:rPr>
      </w:pPr>
      <w:r>
        <w:rPr>
          <w:rFonts w:hint="eastAsia"/>
          <w:b/>
          <w:bCs/>
          <w:color w:val="auto"/>
          <w:sz w:val="52"/>
          <w:szCs w:val="52"/>
        </w:rPr>
        <w:t>2</w:t>
      </w:r>
      <w:r>
        <w:rPr>
          <w:b/>
          <w:bCs/>
          <w:color w:val="auto"/>
          <w:sz w:val="52"/>
          <w:szCs w:val="52"/>
        </w:rPr>
        <w:t>021</w:t>
      </w:r>
      <w:r>
        <w:rPr>
          <w:rFonts w:hint="eastAsia"/>
          <w:b/>
          <w:bCs/>
          <w:color w:val="auto"/>
          <w:sz w:val="52"/>
          <w:szCs w:val="52"/>
        </w:rPr>
        <w:t>年1</w:t>
      </w:r>
      <w:r>
        <w:rPr>
          <w:b/>
          <w:bCs/>
          <w:color w:val="auto"/>
          <w:sz w:val="52"/>
          <w:szCs w:val="52"/>
        </w:rPr>
        <w:t>0</w:t>
      </w:r>
      <w:r>
        <w:rPr>
          <w:rFonts w:hint="eastAsia"/>
          <w:b/>
          <w:bCs/>
          <w:color w:val="auto"/>
          <w:sz w:val="52"/>
          <w:szCs w:val="52"/>
        </w:rPr>
        <w:t>月</w:t>
      </w:r>
    </w:p>
    <w:sdt>
      <w:sdtPr>
        <w:rPr>
          <w:rFonts w:ascii="Times New Roman" w:hAnsi="Times New Roman" w:eastAsiaTheme="minorEastAsia" w:cstheme="minorBidi"/>
          <w:color w:val="auto"/>
          <w:kern w:val="2"/>
          <w:sz w:val="32"/>
          <w:szCs w:val="32"/>
          <w:lang w:val="zh-CN"/>
        </w:rPr>
        <w:id w:val="-1055466129"/>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6"/>
            <w:pageBreakBefore w:val="0"/>
            <w:kinsoku/>
            <w:wordWrap/>
            <w:overflowPunct/>
            <w:topLinePunct w:val="0"/>
            <w:autoSpaceDE/>
            <w:autoSpaceDN/>
            <w:bidi w:val="0"/>
            <w:adjustRightInd/>
            <w:snapToGrid/>
            <w:spacing w:line="240" w:lineRule="auto"/>
            <w:jc w:val="center"/>
            <w:textAlignment w:val="auto"/>
            <w:rPr>
              <w:rFonts w:ascii="Times New Roman" w:hAnsi="Times New Roman"/>
              <w:b/>
              <w:bCs/>
              <w:color w:val="auto"/>
              <w:sz w:val="32"/>
              <w:szCs w:val="32"/>
            </w:rPr>
          </w:pPr>
          <w:r>
            <w:rPr>
              <w:rFonts w:ascii="Times New Roman" w:hAnsi="Times New Roman"/>
              <w:b/>
              <w:bCs/>
              <w:color w:val="auto"/>
              <w:sz w:val="32"/>
              <w:szCs w:val="32"/>
              <w:lang w:val="zh-CN"/>
            </w:rPr>
            <w:t>目录</w:t>
          </w:r>
        </w:p>
        <w:p>
          <w:pPr>
            <w:pStyle w:val="11"/>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color w:val="auto"/>
              <w:sz w:val="32"/>
              <w:szCs w:val="32"/>
            </w:rPr>
            <w:fldChar w:fldCharType="begin"/>
          </w:r>
          <w:r>
            <w:rPr>
              <w:rFonts w:ascii="Times New Roman" w:hAnsi="Times New Roman"/>
              <w:color w:val="auto"/>
              <w:sz w:val="32"/>
              <w:szCs w:val="32"/>
            </w:rPr>
            <w:instrText xml:space="preserve"> TOC \o "1-3" \h \z \u </w:instrText>
          </w:r>
          <w:r>
            <w:rPr>
              <w:rFonts w:ascii="Times New Roman" w:hAnsi="Times New Roman"/>
              <w:color w:val="auto"/>
              <w:sz w:val="32"/>
              <w:szCs w:val="32"/>
            </w:rPr>
            <w:fldChar w:fldCharType="separate"/>
          </w:r>
          <w:r>
            <w:rPr>
              <w:rFonts w:ascii="Times New Roman" w:hAnsi="Times New Roman"/>
              <w:color w:val="auto"/>
              <w:sz w:val="32"/>
              <w:szCs w:val="32"/>
            </w:rPr>
            <w:fldChar w:fldCharType="begin"/>
          </w:r>
          <w:r>
            <w:rPr>
              <w:rFonts w:ascii="Times New Roman" w:hAnsi="Times New Roman"/>
              <w:color w:val="auto"/>
              <w:sz w:val="32"/>
              <w:szCs w:val="32"/>
            </w:rPr>
            <w:instrText xml:space="preserve"> HYPERLINK \l _Toc29823 </w:instrText>
          </w:r>
          <w:r>
            <w:rPr>
              <w:rFonts w:ascii="Times New Roman" w:hAnsi="Times New Roman"/>
              <w:color w:val="auto"/>
              <w:sz w:val="32"/>
              <w:szCs w:val="32"/>
            </w:rPr>
            <w:fldChar w:fldCharType="separate"/>
          </w:r>
          <w:r>
            <w:rPr>
              <w:rFonts w:hint="eastAsia" w:ascii="Times New Roman" w:hAnsi="Times New Roman" w:eastAsia="黑体"/>
              <w:bCs w:val="0"/>
              <w:color w:val="auto"/>
              <w:sz w:val="32"/>
              <w:szCs w:val="32"/>
            </w:rPr>
            <w:t>一、发展背景</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_Toc29823 \h </w:instrText>
          </w:r>
          <w:r>
            <w:rPr>
              <w:rFonts w:ascii="Times New Roman" w:hAnsi="Times New Roman"/>
              <w:color w:val="auto"/>
              <w:sz w:val="32"/>
              <w:szCs w:val="32"/>
            </w:rPr>
            <w:fldChar w:fldCharType="separate"/>
          </w:r>
          <w:r>
            <w:rPr>
              <w:rFonts w:ascii="Times New Roman" w:hAnsi="Times New Roman"/>
              <w:color w:val="auto"/>
              <w:sz w:val="32"/>
              <w:szCs w:val="32"/>
            </w:rPr>
            <w:t>3</w:t>
          </w:r>
          <w:r>
            <w:rPr>
              <w:rFonts w:ascii="Times New Roman" w:hAnsi="Times New Roman"/>
              <w:color w:val="auto"/>
              <w:sz w:val="32"/>
              <w:szCs w:val="32"/>
            </w:rPr>
            <w:fldChar w:fldCharType="end"/>
          </w:r>
          <w:r>
            <w:rPr>
              <w:rFonts w:ascii="Times New Roman" w:hAnsi="Times New Roman"/>
              <w:color w:val="auto"/>
              <w:sz w:val="32"/>
              <w:szCs w:val="32"/>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_Toc1653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（一）发展基础</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_Toc1653 \h </w:instrText>
          </w:r>
          <w:r>
            <w:rPr>
              <w:rFonts w:ascii="Times New Roman" w:hAnsi="Times New Roman"/>
              <w:color w:val="auto"/>
              <w:sz w:val="32"/>
              <w:szCs w:val="32"/>
            </w:rPr>
            <w:fldChar w:fldCharType="separate"/>
          </w:r>
          <w:r>
            <w:rPr>
              <w:rFonts w:ascii="Times New Roman" w:hAnsi="Times New Roman"/>
              <w:color w:val="auto"/>
              <w:sz w:val="32"/>
              <w:szCs w:val="32"/>
            </w:rPr>
            <w:t>3</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_Toc16813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（二）发展环境</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_Toc16813 \h </w:instrText>
          </w:r>
          <w:r>
            <w:rPr>
              <w:rFonts w:ascii="Times New Roman" w:hAnsi="Times New Roman"/>
              <w:color w:val="auto"/>
              <w:sz w:val="32"/>
              <w:szCs w:val="32"/>
            </w:rPr>
            <w:fldChar w:fldCharType="separate"/>
          </w:r>
          <w:r>
            <w:rPr>
              <w:rFonts w:ascii="Times New Roman" w:hAnsi="Times New Roman"/>
              <w:color w:val="auto"/>
              <w:sz w:val="32"/>
              <w:szCs w:val="32"/>
            </w:rPr>
            <w:t>7</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1"/>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_Toc8043 </w:instrText>
          </w:r>
          <w:r>
            <w:rPr>
              <w:rFonts w:ascii="Times New Roman" w:hAnsi="Times New Roman"/>
              <w:bCs/>
              <w:color w:val="auto"/>
              <w:sz w:val="32"/>
              <w:szCs w:val="32"/>
              <w:lang w:val="zh-CN"/>
            </w:rPr>
            <w:fldChar w:fldCharType="separate"/>
          </w:r>
          <w:r>
            <w:rPr>
              <w:rFonts w:hint="eastAsia" w:ascii="Times New Roman" w:hAnsi="Times New Roman" w:eastAsia="黑体"/>
              <w:bCs w:val="0"/>
              <w:color w:val="auto"/>
              <w:sz w:val="32"/>
              <w:szCs w:val="32"/>
            </w:rPr>
            <w:t>二、总体思路</w:t>
          </w:r>
          <w:r>
            <w:rPr>
              <w:rFonts w:hint="eastAsia" w:ascii="Times New Roman" w:hAnsi="Times New Roman" w:eastAsia="黑体"/>
              <w:bCs w:val="0"/>
              <w:color w:val="auto"/>
              <w:sz w:val="32"/>
              <w:szCs w:val="32"/>
              <w:lang w:val="en-US" w:eastAsia="zh-CN"/>
            </w:rPr>
            <w:t>和要求</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_Toc8043 \h </w:instrText>
          </w:r>
          <w:r>
            <w:rPr>
              <w:rFonts w:ascii="Times New Roman" w:hAnsi="Times New Roman"/>
              <w:color w:val="auto"/>
              <w:sz w:val="32"/>
              <w:szCs w:val="32"/>
            </w:rPr>
            <w:fldChar w:fldCharType="separate"/>
          </w:r>
          <w:r>
            <w:rPr>
              <w:rFonts w:ascii="Times New Roman" w:hAnsi="Times New Roman"/>
              <w:color w:val="auto"/>
              <w:sz w:val="32"/>
              <w:szCs w:val="32"/>
            </w:rPr>
            <w:t>10</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_Toc28657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（一）指导思想</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_Toc28657 \h </w:instrText>
          </w:r>
          <w:r>
            <w:rPr>
              <w:rFonts w:ascii="Times New Roman" w:hAnsi="Times New Roman"/>
              <w:color w:val="auto"/>
              <w:sz w:val="32"/>
              <w:szCs w:val="32"/>
            </w:rPr>
            <w:fldChar w:fldCharType="separate"/>
          </w:r>
          <w:r>
            <w:rPr>
              <w:rFonts w:ascii="Times New Roman" w:hAnsi="Times New Roman"/>
              <w:color w:val="auto"/>
              <w:sz w:val="32"/>
              <w:szCs w:val="32"/>
            </w:rPr>
            <w:t>10</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_Toc14669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（二）基本原则</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_Toc14669 \h </w:instrText>
          </w:r>
          <w:r>
            <w:rPr>
              <w:rFonts w:ascii="Times New Roman" w:hAnsi="Times New Roman"/>
              <w:color w:val="auto"/>
              <w:sz w:val="32"/>
              <w:szCs w:val="32"/>
            </w:rPr>
            <w:fldChar w:fldCharType="separate"/>
          </w:r>
          <w:r>
            <w:rPr>
              <w:rFonts w:ascii="Times New Roman" w:hAnsi="Times New Roman"/>
              <w:color w:val="auto"/>
              <w:sz w:val="32"/>
              <w:szCs w:val="32"/>
            </w:rPr>
            <w:t>11</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_Toc988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（三）发展目标</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_Toc988 \h </w:instrText>
          </w:r>
          <w:r>
            <w:rPr>
              <w:rFonts w:ascii="Times New Roman" w:hAnsi="Times New Roman"/>
              <w:color w:val="auto"/>
              <w:sz w:val="32"/>
              <w:szCs w:val="32"/>
            </w:rPr>
            <w:fldChar w:fldCharType="separate"/>
          </w:r>
          <w:r>
            <w:rPr>
              <w:rFonts w:ascii="Times New Roman" w:hAnsi="Times New Roman"/>
              <w:color w:val="auto"/>
              <w:sz w:val="32"/>
              <w:szCs w:val="32"/>
            </w:rPr>
            <w:t>12</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1"/>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_Toc27128 </w:instrText>
          </w:r>
          <w:r>
            <w:rPr>
              <w:rFonts w:ascii="Times New Roman" w:hAnsi="Times New Roman"/>
              <w:bCs/>
              <w:color w:val="auto"/>
              <w:sz w:val="32"/>
              <w:szCs w:val="32"/>
              <w:lang w:val="zh-CN"/>
            </w:rPr>
            <w:fldChar w:fldCharType="separate"/>
          </w:r>
          <w:r>
            <w:rPr>
              <w:rFonts w:hint="eastAsia" w:ascii="Times New Roman" w:hAnsi="Times New Roman" w:eastAsia="黑体"/>
              <w:bCs w:val="0"/>
              <w:color w:val="auto"/>
              <w:sz w:val="32"/>
              <w:szCs w:val="32"/>
            </w:rPr>
            <w:t>三、重点</w:t>
          </w:r>
          <w:r>
            <w:rPr>
              <w:rFonts w:ascii="Times New Roman" w:hAnsi="Times New Roman" w:eastAsia="黑体"/>
              <w:bCs w:val="0"/>
              <w:color w:val="auto"/>
              <w:sz w:val="32"/>
              <w:szCs w:val="32"/>
            </w:rPr>
            <w:t>任务</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_Toc27128 \h </w:instrText>
          </w:r>
          <w:r>
            <w:rPr>
              <w:rFonts w:ascii="Times New Roman" w:hAnsi="Times New Roman"/>
              <w:color w:val="auto"/>
              <w:sz w:val="32"/>
              <w:szCs w:val="32"/>
            </w:rPr>
            <w:fldChar w:fldCharType="separate"/>
          </w:r>
          <w:r>
            <w:rPr>
              <w:rFonts w:ascii="Times New Roman" w:hAnsi="Times New Roman"/>
              <w:color w:val="auto"/>
              <w:sz w:val="32"/>
              <w:szCs w:val="32"/>
            </w:rPr>
            <w:t>14</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_Toc31035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（一）聚焦</w:t>
          </w:r>
          <w:r>
            <w:rPr>
              <w:rFonts w:hint="eastAsia" w:ascii="Times New Roman" w:hAnsi="Times New Roman" w:eastAsia="仿宋"/>
              <w:bCs/>
              <w:color w:val="auto"/>
              <w:sz w:val="32"/>
              <w:szCs w:val="32"/>
              <w:lang w:val="en-US" w:eastAsia="zh-CN"/>
            </w:rPr>
            <w:t>数字城管</w:t>
          </w:r>
          <w:r>
            <w:rPr>
              <w:rFonts w:hint="eastAsia" w:ascii="Times New Roman" w:hAnsi="Times New Roman" w:eastAsia="仿宋"/>
              <w:bCs/>
              <w:color w:val="auto"/>
              <w:sz w:val="32"/>
              <w:szCs w:val="32"/>
            </w:rPr>
            <w:t>新业态，建设智慧城市</w:t>
          </w:r>
          <w:r>
            <w:rPr>
              <w:rFonts w:hint="eastAsia" w:ascii="Times New Roman" w:hAnsi="Times New Roman" w:eastAsia="仿宋"/>
              <w:bCs/>
              <w:color w:val="auto"/>
              <w:sz w:val="32"/>
              <w:szCs w:val="32"/>
              <w:lang w:val="en-US" w:eastAsia="zh-CN"/>
            </w:rPr>
            <w:t>新标杆</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_Toc31035 \h </w:instrText>
          </w:r>
          <w:r>
            <w:rPr>
              <w:rFonts w:ascii="Times New Roman" w:hAnsi="Times New Roman"/>
              <w:color w:val="auto"/>
              <w:sz w:val="32"/>
              <w:szCs w:val="32"/>
            </w:rPr>
            <w:fldChar w:fldCharType="separate"/>
          </w:r>
          <w:r>
            <w:rPr>
              <w:rFonts w:ascii="Times New Roman" w:hAnsi="Times New Roman"/>
              <w:color w:val="auto"/>
              <w:sz w:val="32"/>
              <w:szCs w:val="32"/>
            </w:rPr>
            <w:t>14</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_Toc3547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（二）</w:t>
          </w:r>
          <w:r>
            <w:rPr>
              <w:rFonts w:hint="eastAsia" w:ascii="Times New Roman" w:hAnsi="Times New Roman" w:eastAsia="仿宋"/>
              <w:bCs/>
              <w:color w:val="auto"/>
              <w:sz w:val="32"/>
              <w:szCs w:val="32"/>
              <w:lang w:val="en-US" w:eastAsia="zh-CN"/>
            </w:rPr>
            <w:t>发展</w:t>
          </w:r>
          <w:r>
            <w:rPr>
              <w:rFonts w:hint="eastAsia" w:ascii="Times New Roman" w:hAnsi="Times New Roman" w:eastAsia="仿宋"/>
              <w:bCs/>
              <w:color w:val="auto"/>
              <w:sz w:val="32"/>
              <w:szCs w:val="32"/>
            </w:rPr>
            <w:t>智能制造新业态，引领工业</w:t>
          </w:r>
          <w:r>
            <w:rPr>
              <w:rFonts w:hint="eastAsia" w:ascii="Times New Roman" w:hAnsi="Times New Roman" w:eastAsia="仿宋"/>
              <w:bCs/>
              <w:color w:val="auto"/>
              <w:sz w:val="32"/>
              <w:szCs w:val="32"/>
              <w:lang w:val="en-US" w:eastAsia="zh-CN"/>
            </w:rPr>
            <w:t>转型促升级</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_Toc3547 \h </w:instrText>
          </w:r>
          <w:r>
            <w:rPr>
              <w:rFonts w:ascii="Times New Roman" w:hAnsi="Times New Roman"/>
              <w:color w:val="auto"/>
              <w:sz w:val="32"/>
              <w:szCs w:val="32"/>
            </w:rPr>
            <w:fldChar w:fldCharType="separate"/>
          </w:r>
          <w:r>
            <w:rPr>
              <w:rFonts w:ascii="Times New Roman" w:hAnsi="Times New Roman"/>
              <w:color w:val="auto"/>
              <w:sz w:val="32"/>
              <w:szCs w:val="32"/>
            </w:rPr>
            <w:t>20</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_Toc13106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（三）</w:t>
          </w:r>
          <w:r>
            <w:rPr>
              <w:rFonts w:hint="eastAsia" w:ascii="Times New Roman" w:hAnsi="Times New Roman" w:eastAsia="仿宋"/>
              <w:bCs/>
              <w:color w:val="auto"/>
              <w:sz w:val="32"/>
              <w:szCs w:val="32"/>
              <w:lang w:val="en-US" w:eastAsia="zh-CN"/>
            </w:rPr>
            <w:t>把握现代</w:t>
          </w:r>
          <w:r>
            <w:rPr>
              <w:rFonts w:hint="eastAsia" w:ascii="Times New Roman" w:hAnsi="Times New Roman" w:eastAsia="仿宋"/>
              <w:bCs/>
              <w:color w:val="auto"/>
              <w:sz w:val="32"/>
              <w:szCs w:val="32"/>
            </w:rPr>
            <w:t>物流新业态，助力实体经济</w:t>
          </w:r>
          <w:r>
            <w:rPr>
              <w:rFonts w:hint="eastAsia" w:ascii="Times New Roman" w:hAnsi="Times New Roman" w:eastAsia="仿宋"/>
              <w:bCs/>
              <w:color w:val="auto"/>
              <w:sz w:val="32"/>
              <w:szCs w:val="32"/>
              <w:lang w:val="en-US" w:eastAsia="zh-CN"/>
            </w:rPr>
            <w:t>大</w:t>
          </w:r>
          <w:r>
            <w:rPr>
              <w:rFonts w:hint="eastAsia" w:ascii="Times New Roman" w:hAnsi="Times New Roman" w:eastAsia="仿宋"/>
              <w:bCs/>
              <w:color w:val="auto"/>
              <w:sz w:val="32"/>
              <w:szCs w:val="32"/>
            </w:rPr>
            <w:t>发展</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_Toc13106 \h </w:instrText>
          </w:r>
          <w:r>
            <w:rPr>
              <w:rFonts w:ascii="Times New Roman" w:hAnsi="Times New Roman"/>
              <w:color w:val="auto"/>
              <w:sz w:val="32"/>
              <w:szCs w:val="32"/>
            </w:rPr>
            <w:fldChar w:fldCharType="separate"/>
          </w:r>
          <w:r>
            <w:rPr>
              <w:rFonts w:ascii="Times New Roman" w:hAnsi="Times New Roman"/>
              <w:color w:val="auto"/>
              <w:sz w:val="32"/>
              <w:szCs w:val="32"/>
            </w:rPr>
            <w:t>21</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_Toc23094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（四）创新</w:t>
          </w:r>
          <w:r>
            <w:rPr>
              <w:rFonts w:hint="eastAsia" w:ascii="Times New Roman" w:hAnsi="Times New Roman" w:eastAsia="仿宋"/>
              <w:bCs/>
              <w:color w:val="auto"/>
              <w:sz w:val="32"/>
              <w:szCs w:val="32"/>
              <w:lang w:val="en-US" w:eastAsia="zh-CN"/>
            </w:rPr>
            <w:t>特色</w:t>
          </w:r>
          <w:r>
            <w:rPr>
              <w:rFonts w:hint="eastAsia" w:ascii="Times New Roman" w:hAnsi="Times New Roman" w:eastAsia="仿宋"/>
              <w:bCs/>
              <w:color w:val="auto"/>
              <w:sz w:val="32"/>
              <w:szCs w:val="32"/>
            </w:rPr>
            <w:t>农业新业态，</w:t>
          </w:r>
          <w:r>
            <w:rPr>
              <w:rFonts w:hint="eastAsia" w:ascii="Times New Roman" w:hAnsi="Times New Roman" w:eastAsia="仿宋"/>
              <w:bCs/>
              <w:color w:val="auto"/>
              <w:sz w:val="32"/>
              <w:szCs w:val="32"/>
              <w:lang w:val="en-US" w:eastAsia="zh-CN"/>
            </w:rPr>
            <w:t>铺就</w:t>
          </w:r>
          <w:r>
            <w:rPr>
              <w:rFonts w:hint="eastAsia" w:ascii="Times New Roman" w:hAnsi="Times New Roman" w:eastAsia="仿宋"/>
              <w:bCs/>
              <w:color w:val="auto"/>
              <w:sz w:val="32"/>
              <w:szCs w:val="32"/>
            </w:rPr>
            <w:t>乡村振兴</w:t>
          </w:r>
          <w:r>
            <w:rPr>
              <w:rFonts w:hint="eastAsia" w:ascii="Times New Roman" w:hAnsi="Times New Roman" w:eastAsia="仿宋"/>
              <w:bCs/>
              <w:color w:val="auto"/>
              <w:sz w:val="32"/>
              <w:szCs w:val="32"/>
              <w:lang w:val="en-US" w:eastAsia="zh-CN"/>
            </w:rPr>
            <w:t>康庄</w:t>
          </w:r>
          <w:r>
            <w:rPr>
              <w:rFonts w:hint="eastAsia" w:ascii="Times New Roman" w:hAnsi="Times New Roman" w:eastAsia="仿宋"/>
              <w:bCs/>
              <w:color w:val="auto"/>
              <w:sz w:val="32"/>
              <w:szCs w:val="32"/>
            </w:rPr>
            <w:t>路</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_Toc23094 \h </w:instrText>
          </w:r>
          <w:r>
            <w:rPr>
              <w:rFonts w:ascii="Times New Roman" w:hAnsi="Times New Roman"/>
              <w:color w:val="auto"/>
              <w:sz w:val="32"/>
              <w:szCs w:val="32"/>
            </w:rPr>
            <w:fldChar w:fldCharType="separate"/>
          </w:r>
          <w:r>
            <w:rPr>
              <w:rFonts w:ascii="Times New Roman" w:hAnsi="Times New Roman"/>
              <w:color w:val="auto"/>
              <w:sz w:val="32"/>
              <w:szCs w:val="32"/>
            </w:rPr>
            <w:t>24</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_Toc7685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（五）打造文旅</w:t>
          </w:r>
          <w:r>
            <w:rPr>
              <w:rFonts w:hint="eastAsia" w:ascii="Times New Roman" w:hAnsi="Times New Roman" w:eastAsia="仿宋"/>
              <w:bCs/>
              <w:color w:val="auto"/>
              <w:sz w:val="32"/>
              <w:szCs w:val="32"/>
              <w:lang w:val="en-US" w:eastAsia="zh-CN"/>
            </w:rPr>
            <w:t>康养</w:t>
          </w:r>
          <w:r>
            <w:rPr>
              <w:rFonts w:hint="eastAsia" w:ascii="Times New Roman" w:hAnsi="Times New Roman" w:eastAsia="仿宋"/>
              <w:bCs/>
              <w:color w:val="auto"/>
              <w:sz w:val="32"/>
              <w:szCs w:val="32"/>
            </w:rPr>
            <w:t>新业态，</w:t>
          </w:r>
          <w:r>
            <w:rPr>
              <w:rFonts w:hint="eastAsia" w:ascii="Times New Roman" w:hAnsi="Times New Roman" w:eastAsia="仿宋"/>
              <w:bCs/>
              <w:color w:val="auto"/>
              <w:sz w:val="32"/>
              <w:szCs w:val="32"/>
              <w:lang w:val="en-US" w:eastAsia="zh-CN"/>
            </w:rPr>
            <w:t>推动</w:t>
          </w:r>
          <w:r>
            <w:rPr>
              <w:rFonts w:hint="eastAsia" w:ascii="Times New Roman" w:hAnsi="Times New Roman" w:eastAsia="仿宋"/>
              <w:bCs/>
              <w:color w:val="auto"/>
              <w:sz w:val="32"/>
              <w:szCs w:val="32"/>
            </w:rPr>
            <w:t>文旅高质量发展</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_Toc7685 \h </w:instrText>
          </w:r>
          <w:r>
            <w:rPr>
              <w:rFonts w:ascii="Times New Roman" w:hAnsi="Times New Roman"/>
              <w:color w:val="auto"/>
              <w:sz w:val="32"/>
              <w:szCs w:val="32"/>
            </w:rPr>
            <w:fldChar w:fldCharType="separate"/>
          </w:r>
          <w:r>
            <w:rPr>
              <w:rFonts w:ascii="Times New Roman" w:hAnsi="Times New Roman"/>
              <w:color w:val="auto"/>
              <w:sz w:val="32"/>
              <w:szCs w:val="32"/>
            </w:rPr>
            <w:t>28</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_Toc28211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（六）培育</w:t>
          </w:r>
          <w:r>
            <w:rPr>
              <w:rFonts w:hint="eastAsia" w:ascii="Times New Roman" w:hAnsi="Times New Roman" w:eastAsia="仿宋"/>
              <w:bCs/>
              <w:color w:val="auto"/>
              <w:sz w:val="32"/>
              <w:szCs w:val="32"/>
              <w:lang w:val="en-US" w:eastAsia="zh-CN"/>
            </w:rPr>
            <w:t>绿色</w:t>
          </w:r>
          <w:r>
            <w:rPr>
              <w:rFonts w:hint="eastAsia" w:ascii="Times New Roman" w:hAnsi="Times New Roman" w:eastAsia="仿宋"/>
              <w:bCs/>
              <w:color w:val="auto"/>
              <w:sz w:val="32"/>
              <w:szCs w:val="32"/>
            </w:rPr>
            <w:t>能源新业态，</w:t>
          </w:r>
          <w:r>
            <w:rPr>
              <w:rFonts w:hint="eastAsia" w:ascii="Times New Roman" w:hAnsi="Times New Roman" w:eastAsia="仿宋"/>
              <w:bCs/>
              <w:color w:val="auto"/>
              <w:sz w:val="32"/>
              <w:szCs w:val="32"/>
              <w:lang w:val="en-US" w:eastAsia="zh-CN"/>
            </w:rPr>
            <w:t>促进能源低碳化发展</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_Toc28211 \h </w:instrText>
          </w:r>
          <w:r>
            <w:rPr>
              <w:rFonts w:ascii="Times New Roman" w:hAnsi="Times New Roman"/>
              <w:color w:val="auto"/>
              <w:sz w:val="32"/>
              <w:szCs w:val="32"/>
            </w:rPr>
            <w:fldChar w:fldCharType="separate"/>
          </w:r>
          <w:r>
            <w:rPr>
              <w:rFonts w:ascii="Times New Roman" w:hAnsi="Times New Roman"/>
              <w:color w:val="auto"/>
              <w:sz w:val="32"/>
              <w:szCs w:val="32"/>
            </w:rPr>
            <w:t>31</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_Toc6212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（七）推动线上线下融合，引领新型消费加快发展</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_Toc6212 \h </w:instrText>
          </w:r>
          <w:r>
            <w:rPr>
              <w:rFonts w:ascii="Times New Roman" w:hAnsi="Times New Roman"/>
              <w:color w:val="auto"/>
              <w:sz w:val="32"/>
              <w:szCs w:val="32"/>
            </w:rPr>
            <w:fldChar w:fldCharType="separate"/>
          </w:r>
          <w:r>
            <w:rPr>
              <w:rFonts w:ascii="Times New Roman" w:hAnsi="Times New Roman"/>
              <w:color w:val="auto"/>
              <w:sz w:val="32"/>
              <w:szCs w:val="32"/>
            </w:rPr>
            <w:t>32</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1"/>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_Toc16882 </w:instrText>
          </w:r>
          <w:r>
            <w:rPr>
              <w:rFonts w:ascii="Times New Roman" w:hAnsi="Times New Roman"/>
              <w:bCs/>
              <w:color w:val="auto"/>
              <w:sz w:val="32"/>
              <w:szCs w:val="32"/>
              <w:lang w:val="zh-CN"/>
            </w:rPr>
            <w:fldChar w:fldCharType="separate"/>
          </w:r>
          <w:r>
            <w:rPr>
              <w:rFonts w:hint="eastAsia" w:ascii="Times New Roman" w:hAnsi="Times New Roman" w:eastAsia="黑体"/>
              <w:bCs w:val="0"/>
              <w:color w:val="auto"/>
              <w:sz w:val="32"/>
              <w:szCs w:val="32"/>
            </w:rPr>
            <w:t>四、</w:t>
          </w:r>
          <w:r>
            <w:rPr>
              <w:rFonts w:ascii="Times New Roman" w:hAnsi="Times New Roman" w:eastAsia="黑体"/>
              <w:bCs w:val="0"/>
              <w:color w:val="auto"/>
              <w:sz w:val="32"/>
              <w:szCs w:val="32"/>
            </w:rPr>
            <w:t>政策支持</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_Toc16882 \h </w:instrText>
          </w:r>
          <w:r>
            <w:rPr>
              <w:rFonts w:ascii="Times New Roman" w:hAnsi="Times New Roman"/>
              <w:color w:val="auto"/>
              <w:sz w:val="32"/>
              <w:szCs w:val="32"/>
            </w:rPr>
            <w:fldChar w:fldCharType="separate"/>
          </w:r>
          <w:r>
            <w:rPr>
              <w:rFonts w:ascii="Times New Roman" w:hAnsi="Times New Roman"/>
              <w:color w:val="auto"/>
              <w:sz w:val="32"/>
              <w:szCs w:val="32"/>
            </w:rPr>
            <w:t>36</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_Toc9780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（一）加大财政扶持政策</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_Toc9780 \h </w:instrText>
          </w:r>
          <w:r>
            <w:rPr>
              <w:rFonts w:ascii="Times New Roman" w:hAnsi="Times New Roman"/>
              <w:color w:val="auto"/>
              <w:sz w:val="32"/>
              <w:szCs w:val="32"/>
            </w:rPr>
            <w:fldChar w:fldCharType="separate"/>
          </w:r>
          <w:r>
            <w:rPr>
              <w:rFonts w:ascii="Times New Roman" w:hAnsi="Times New Roman"/>
              <w:color w:val="auto"/>
              <w:sz w:val="32"/>
              <w:szCs w:val="32"/>
            </w:rPr>
            <w:t>36</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_Toc2748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（二）</w:t>
          </w:r>
          <w:r>
            <w:rPr>
              <w:rFonts w:hint="eastAsia" w:ascii="Times New Roman" w:hAnsi="Times New Roman" w:eastAsia="仿宋"/>
              <w:bCs/>
              <w:color w:val="auto"/>
              <w:sz w:val="32"/>
              <w:szCs w:val="32"/>
              <w:lang w:val="en-US" w:eastAsia="zh-CN"/>
            </w:rPr>
            <w:t>提供</w:t>
          </w:r>
          <w:r>
            <w:rPr>
              <w:rFonts w:hint="eastAsia" w:ascii="Times New Roman" w:hAnsi="Times New Roman" w:eastAsia="仿宋"/>
              <w:bCs/>
              <w:color w:val="auto"/>
              <w:sz w:val="32"/>
              <w:szCs w:val="32"/>
            </w:rPr>
            <w:t>税收优惠政策</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_Toc2748 \h </w:instrText>
          </w:r>
          <w:r>
            <w:rPr>
              <w:rFonts w:ascii="Times New Roman" w:hAnsi="Times New Roman"/>
              <w:color w:val="auto"/>
              <w:sz w:val="32"/>
              <w:szCs w:val="32"/>
            </w:rPr>
            <w:fldChar w:fldCharType="separate"/>
          </w:r>
          <w:r>
            <w:rPr>
              <w:rFonts w:ascii="Times New Roman" w:hAnsi="Times New Roman"/>
              <w:color w:val="auto"/>
              <w:sz w:val="32"/>
              <w:szCs w:val="32"/>
            </w:rPr>
            <w:t>37</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_Toc18860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（三）</w:t>
          </w:r>
          <w:r>
            <w:rPr>
              <w:rFonts w:hint="eastAsia" w:ascii="Times New Roman" w:hAnsi="Times New Roman" w:eastAsia="仿宋"/>
              <w:bCs/>
              <w:color w:val="auto"/>
              <w:sz w:val="32"/>
              <w:szCs w:val="32"/>
              <w:lang w:val="en-US" w:eastAsia="zh-CN"/>
            </w:rPr>
            <w:t>强化</w:t>
          </w:r>
          <w:r>
            <w:rPr>
              <w:rFonts w:ascii="Times New Roman" w:hAnsi="Times New Roman" w:eastAsia="仿宋"/>
              <w:bCs/>
              <w:color w:val="auto"/>
              <w:sz w:val="32"/>
              <w:szCs w:val="32"/>
            </w:rPr>
            <w:t>金融支持</w:t>
          </w:r>
          <w:r>
            <w:rPr>
              <w:rFonts w:hint="eastAsia" w:ascii="Times New Roman" w:hAnsi="Times New Roman" w:eastAsia="仿宋"/>
              <w:bCs/>
              <w:color w:val="auto"/>
              <w:sz w:val="32"/>
              <w:szCs w:val="32"/>
            </w:rPr>
            <w:t>政策</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_Toc18860 \h </w:instrText>
          </w:r>
          <w:r>
            <w:rPr>
              <w:rFonts w:ascii="Times New Roman" w:hAnsi="Times New Roman"/>
              <w:color w:val="auto"/>
              <w:sz w:val="32"/>
              <w:szCs w:val="32"/>
            </w:rPr>
            <w:fldChar w:fldCharType="separate"/>
          </w:r>
          <w:r>
            <w:rPr>
              <w:rFonts w:ascii="Times New Roman" w:hAnsi="Times New Roman"/>
              <w:color w:val="auto"/>
              <w:sz w:val="32"/>
              <w:szCs w:val="32"/>
            </w:rPr>
            <w:t>37</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_Toc9715 </w:instrText>
          </w:r>
          <w:r>
            <w:rPr>
              <w:rFonts w:ascii="Times New Roman" w:hAnsi="Times New Roman"/>
              <w:bCs/>
              <w:color w:val="auto"/>
              <w:sz w:val="32"/>
              <w:szCs w:val="32"/>
              <w:lang w:val="zh-CN"/>
            </w:rPr>
            <w:fldChar w:fldCharType="separate"/>
          </w:r>
          <w:r>
            <w:rPr>
              <w:rFonts w:ascii="Times New Roman" w:hAnsi="Times New Roman" w:eastAsia="仿宋"/>
              <w:bCs/>
              <w:color w:val="auto"/>
              <w:sz w:val="32"/>
              <w:szCs w:val="32"/>
            </w:rPr>
            <w:t>（</w:t>
          </w:r>
          <w:r>
            <w:rPr>
              <w:rFonts w:hint="eastAsia" w:ascii="Times New Roman" w:hAnsi="Times New Roman" w:eastAsia="仿宋"/>
              <w:bCs/>
              <w:color w:val="auto"/>
              <w:sz w:val="32"/>
              <w:szCs w:val="32"/>
            </w:rPr>
            <w:t>四</w:t>
          </w:r>
          <w:r>
            <w:rPr>
              <w:rFonts w:ascii="Times New Roman" w:hAnsi="Times New Roman" w:eastAsia="仿宋"/>
              <w:bCs/>
              <w:color w:val="auto"/>
              <w:sz w:val="32"/>
              <w:szCs w:val="32"/>
            </w:rPr>
            <w:t>）</w:t>
          </w:r>
          <w:r>
            <w:rPr>
              <w:rFonts w:hint="eastAsia" w:ascii="Times New Roman" w:hAnsi="Times New Roman" w:eastAsia="仿宋"/>
              <w:bCs/>
              <w:color w:val="auto"/>
              <w:sz w:val="32"/>
              <w:szCs w:val="32"/>
              <w:lang w:val="en-US" w:eastAsia="zh-CN"/>
            </w:rPr>
            <w:t>健全社会保障体系</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_Toc9715 \h </w:instrText>
          </w:r>
          <w:r>
            <w:rPr>
              <w:rFonts w:ascii="Times New Roman" w:hAnsi="Times New Roman"/>
              <w:color w:val="auto"/>
              <w:sz w:val="32"/>
              <w:szCs w:val="32"/>
            </w:rPr>
            <w:fldChar w:fldCharType="separate"/>
          </w:r>
          <w:r>
            <w:rPr>
              <w:rFonts w:ascii="Times New Roman" w:hAnsi="Times New Roman"/>
              <w:color w:val="auto"/>
              <w:sz w:val="32"/>
              <w:szCs w:val="32"/>
            </w:rPr>
            <w:t>38</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_Toc27079 </w:instrText>
          </w:r>
          <w:r>
            <w:rPr>
              <w:rFonts w:ascii="Times New Roman" w:hAnsi="Times New Roman"/>
              <w:bCs/>
              <w:color w:val="auto"/>
              <w:sz w:val="32"/>
              <w:szCs w:val="32"/>
              <w:lang w:val="zh-CN"/>
            </w:rPr>
            <w:fldChar w:fldCharType="separate"/>
          </w:r>
          <w:r>
            <w:rPr>
              <w:rFonts w:ascii="Times New Roman" w:hAnsi="Times New Roman" w:eastAsia="仿宋"/>
              <w:bCs/>
              <w:color w:val="auto"/>
              <w:sz w:val="32"/>
              <w:szCs w:val="32"/>
            </w:rPr>
            <w:t>（</w:t>
          </w:r>
          <w:r>
            <w:rPr>
              <w:rFonts w:hint="eastAsia" w:ascii="Times New Roman" w:hAnsi="Times New Roman" w:eastAsia="仿宋"/>
              <w:bCs/>
              <w:color w:val="auto"/>
              <w:sz w:val="32"/>
              <w:szCs w:val="32"/>
            </w:rPr>
            <w:t>五</w:t>
          </w:r>
          <w:r>
            <w:rPr>
              <w:rFonts w:ascii="Times New Roman" w:hAnsi="Times New Roman" w:eastAsia="仿宋"/>
              <w:bCs/>
              <w:color w:val="auto"/>
              <w:sz w:val="32"/>
              <w:szCs w:val="32"/>
            </w:rPr>
            <w:t>）</w:t>
          </w:r>
          <w:r>
            <w:rPr>
              <w:rFonts w:hint="eastAsia" w:ascii="Times New Roman" w:hAnsi="Times New Roman" w:eastAsia="仿宋"/>
              <w:bCs/>
              <w:color w:val="auto"/>
              <w:sz w:val="32"/>
              <w:szCs w:val="32"/>
              <w:lang w:val="en-US" w:eastAsia="zh-CN"/>
            </w:rPr>
            <w:t>完善</w:t>
          </w:r>
          <w:r>
            <w:rPr>
              <w:rFonts w:ascii="Times New Roman" w:hAnsi="Times New Roman" w:eastAsia="仿宋"/>
              <w:bCs/>
              <w:color w:val="auto"/>
              <w:sz w:val="32"/>
              <w:szCs w:val="32"/>
            </w:rPr>
            <w:t>人才引培政策</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_Toc27079 \h </w:instrText>
          </w:r>
          <w:r>
            <w:rPr>
              <w:rFonts w:ascii="Times New Roman" w:hAnsi="Times New Roman"/>
              <w:color w:val="auto"/>
              <w:sz w:val="32"/>
              <w:szCs w:val="32"/>
            </w:rPr>
            <w:fldChar w:fldCharType="separate"/>
          </w:r>
          <w:r>
            <w:rPr>
              <w:rFonts w:ascii="Times New Roman" w:hAnsi="Times New Roman"/>
              <w:color w:val="auto"/>
              <w:sz w:val="32"/>
              <w:szCs w:val="32"/>
            </w:rPr>
            <w:t>39</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1"/>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_Toc26758 </w:instrText>
          </w:r>
          <w:r>
            <w:rPr>
              <w:rFonts w:ascii="Times New Roman" w:hAnsi="Times New Roman"/>
              <w:bCs/>
              <w:color w:val="auto"/>
              <w:sz w:val="32"/>
              <w:szCs w:val="32"/>
              <w:lang w:val="zh-CN"/>
            </w:rPr>
            <w:fldChar w:fldCharType="separate"/>
          </w:r>
          <w:r>
            <w:rPr>
              <w:rFonts w:hint="eastAsia" w:ascii="Times New Roman" w:hAnsi="Times New Roman" w:eastAsia="黑体"/>
              <w:bCs w:val="0"/>
              <w:color w:val="auto"/>
              <w:sz w:val="32"/>
              <w:szCs w:val="32"/>
            </w:rPr>
            <w:t>五、</w:t>
          </w:r>
          <w:r>
            <w:rPr>
              <w:rFonts w:ascii="Times New Roman" w:hAnsi="Times New Roman" w:eastAsia="黑体"/>
              <w:bCs w:val="0"/>
              <w:color w:val="auto"/>
              <w:sz w:val="32"/>
              <w:szCs w:val="32"/>
            </w:rPr>
            <w:t>保障措施</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_Toc26758 \h </w:instrText>
          </w:r>
          <w:r>
            <w:rPr>
              <w:rFonts w:ascii="Times New Roman" w:hAnsi="Times New Roman"/>
              <w:color w:val="auto"/>
              <w:sz w:val="32"/>
              <w:szCs w:val="32"/>
            </w:rPr>
            <w:fldChar w:fldCharType="separate"/>
          </w:r>
          <w:r>
            <w:rPr>
              <w:rFonts w:ascii="Times New Roman" w:hAnsi="Times New Roman"/>
              <w:color w:val="auto"/>
              <w:sz w:val="32"/>
              <w:szCs w:val="32"/>
            </w:rPr>
            <w:t>40</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_Toc20746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（一）加强组织领导保障</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_Toc20746 \h </w:instrText>
          </w:r>
          <w:r>
            <w:rPr>
              <w:rFonts w:ascii="Times New Roman" w:hAnsi="Times New Roman"/>
              <w:color w:val="auto"/>
              <w:sz w:val="32"/>
              <w:szCs w:val="32"/>
            </w:rPr>
            <w:fldChar w:fldCharType="separate"/>
          </w:r>
          <w:r>
            <w:rPr>
              <w:rFonts w:ascii="Times New Roman" w:hAnsi="Times New Roman"/>
              <w:color w:val="auto"/>
              <w:sz w:val="32"/>
              <w:szCs w:val="32"/>
            </w:rPr>
            <w:t>40</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_Toc24296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（二）坚持包容审慎监管</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_Toc24296 \h </w:instrText>
          </w:r>
          <w:r>
            <w:rPr>
              <w:rFonts w:ascii="Times New Roman" w:hAnsi="Times New Roman"/>
              <w:color w:val="auto"/>
              <w:sz w:val="32"/>
              <w:szCs w:val="32"/>
            </w:rPr>
            <w:fldChar w:fldCharType="separate"/>
          </w:r>
          <w:r>
            <w:rPr>
              <w:rFonts w:ascii="Times New Roman" w:hAnsi="Times New Roman"/>
              <w:color w:val="auto"/>
              <w:sz w:val="32"/>
              <w:szCs w:val="32"/>
            </w:rPr>
            <w:t>41</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_Toc15870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（三）营造良好市场氛围</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_Toc15870 \h </w:instrText>
          </w:r>
          <w:r>
            <w:rPr>
              <w:rFonts w:ascii="Times New Roman" w:hAnsi="Times New Roman"/>
              <w:color w:val="auto"/>
              <w:sz w:val="32"/>
              <w:szCs w:val="32"/>
            </w:rPr>
            <w:fldChar w:fldCharType="separate"/>
          </w:r>
          <w:r>
            <w:rPr>
              <w:rFonts w:ascii="Times New Roman" w:hAnsi="Times New Roman"/>
              <w:color w:val="auto"/>
              <w:sz w:val="32"/>
              <w:szCs w:val="32"/>
            </w:rPr>
            <w:t>42</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Style w:val="13"/>
            <w:pageBreakBefore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color w:val="auto"/>
              <w:sz w:val="32"/>
              <w:szCs w:val="32"/>
            </w:rPr>
          </w:pPr>
          <w:r>
            <w:rPr>
              <w:rFonts w:ascii="Times New Roman" w:hAnsi="Times New Roman"/>
              <w:bCs/>
              <w:color w:val="auto"/>
              <w:sz w:val="32"/>
              <w:szCs w:val="32"/>
              <w:lang w:val="zh-CN"/>
            </w:rPr>
            <w:fldChar w:fldCharType="begin"/>
          </w:r>
          <w:r>
            <w:rPr>
              <w:rFonts w:ascii="Times New Roman" w:hAnsi="Times New Roman"/>
              <w:bCs/>
              <w:color w:val="auto"/>
              <w:sz w:val="32"/>
              <w:szCs w:val="32"/>
              <w:lang w:val="zh-CN"/>
            </w:rPr>
            <w:instrText xml:space="preserve"> HYPERLINK \l _Toc10717 </w:instrText>
          </w:r>
          <w:r>
            <w:rPr>
              <w:rFonts w:ascii="Times New Roman" w:hAnsi="Times New Roman"/>
              <w:bCs/>
              <w:color w:val="auto"/>
              <w:sz w:val="32"/>
              <w:szCs w:val="32"/>
              <w:lang w:val="zh-CN"/>
            </w:rPr>
            <w:fldChar w:fldCharType="separate"/>
          </w:r>
          <w:r>
            <w:rPr>
              <w:rFonts w:hint="eastAsia" w:ascii="Times New Roman" w:hAnsi="Times New Roman" w:eastAsia="仿宋"/>
              <w:bCs/>
              <w:color w:val="auto"/>
              <w:sz w:val="32"/>
              <w:szCs w:val="32"/>
            </w:rPr>
            <w:t>（四）建立培训学习制度</w:t>
          </w:r>
          <w:r>
            <w:rPr>
              <w:rFonts w:ascii="Times New Roman" w:hAnsi="Times New Roman"/>
              <w:color w:val="auto"/>
              <w:sz w:val="32"/>
              <w:szCs w:val="32"/>
            </w:rPr>
            <w:tab/>
          </w:r>
          <w:r>
            <w:rPr>
              <w:rFonts w:ascii="Times New Roman" w:hAnsi="Times New Roman"/>
              <w:color w:val="auto"/>
              <w:sz w:val="32"/>
              <w:szCs w:val="32"/>
            </w:rPr>
            <w:fldChar w:fldCharType="begin"/>
          </w:r>
          <w:r>
            <w:rPr>
              <w:rFonts w:ascii="Times New Roman" w:hAnsi="Times New Roman"/>
              <w:color w:val="auto"/>
              <w:sz w:val="32"/>
              <w:szCs w:val="32"/>
            </w:rPr>
            <w:instrText xml:space="preserve"> PAGEREF _Toc10717 \h </w:instrText>
          </w:r>
          <w:r>
            <w:rPr>
              <w:rFonts w:ascii="Times New Roman" w:hAnsi="Times New Roman"/>
              <w:color w:val="auto"/>
              <w:sz w:val="32"/>
              <w:szCs w:val="32"/>
            </w:rPr>
            <w:fldChar w:fldCharType="separate"/>
          </w:r>
          <w:r>
            <w:rPr>
              <w:rFonts w:ascii="Times New Roman" w:hAnsi="Times New Roman"/>
              <w:color w:val="auto"/>
              <w:sz w:val="32"/>
              <w:szCs w:val="32"/>
            </w:rPr>
            <w:t>43</w:t>
          </w:r>
          <w:r>
            <w:rPr>
              <w:rFonts w:ascii="Times New Roman" w:hAnsi="Times New Roman"/>
              <w:color w:val="auto"/>
              <w:sz w:val="32"/>
              <w:szCs w:val="32"/>
            </w:rPr>
            <w:fldChar w:fldCharType="end"/>
          </w:r>
          <w:r>
            <w:rPr>
              <w:rFonts w:ascii="Times New Roman" w:hAnsi="Times New Roman"/>
              <w:bCs/>
              <w:color w:val="auto"/>
              <w:sz w:val="32"/>
              <w:szCs w:val="32"/>
              <w:lang w:val="zh-CN"/>
            </w:rPr>
            <w:fldChar w:fldCharType="end"/>
          </w:r>
        </w:p>
        <w:p>
          <w:pPr>
            <w:pageBreakBefore w:val="0"/>
            <w:kinsoku/>
            <w:wordWrap/>
            <w:overflowPunct/>
            <w:topLinePunct w:val="0"/>
            <w:autoSpaceDE/>
            <w:autoSpaceDN/>
            <w:bidi w:val="0"/>
            <w:adjustRightInd/>
            <w:snapToGrid/>
            <w:spacing w:line="240" w:lineRule="auto"/>
            <w:textAlignment w:val="auto"/>
            <w:rPr>
              <w:color w:val="auto"/>
            </w:rPr>
          </w:pPr>
          <w:r>
            <w:rPr>
              <w:rFonts w:ascii="Times New Roman" w:hAnsi="Times New Roman"/>
              <w:bCs/>
              <w:color w:val="auto"/>
              <w:sz w:val="32"/>
              <w:szCs w:val="32"/>
              <w:lang w:val="zh-CN"/>
            </w:rPr>
            <w:fldChar w:fldCharType="end"/>
          </w:r>
        </w:p>
      </w:sdtContent>
    </w:sdt>
    <w:p>
      <w:pPr>
        <w:jc w:val="center"/>
        <w:rPr>
          <w:b/>
          <w:bCs/>
          <w:color w:val="auto"/>
          <w:sz w:val="52"/>
          <w:szCs w:val="5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jc w:val="left"/>
        <w:rPr>
          <w:rFonts w:ascii="Times New Roman" w:hAnsi="Times New Roman" w:eastAsia="仿宋"/>
          <w:color w:val="auto"/>
          <w:sz w:val="32"/>
          <w:szCs w:val="32"/>
        </w:rPr>
      </w:pPr>
      <w:r>
        <w:rPr>
          <w:rFonts w:ascii="Times New Roman" w:hAnsi="Times New Roman" w:eastAsia="仿宋"/>
          <w:color w:val="auto"/>
          <w:sz w:val="32"/>
          <w:szCs w:val="32"/>
        </w:rPr>
        <w:br w:type="page"/>
      </w:r>
    </w:p>
    <w:p>
      <w:pPr>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新业态是指基于不同产业间的组合、企业内部价值链和外部产业链环节的分化、融合、行业跨界整合以及嫁接信息、互联网技术所形成的新型企业、商业乃至产业的组织形态。加快培育壮大新业态、新模式，着力推进数字经济与实体经济、民生服务深度融合，是我县落实“六新”要求推动经济转型和促进改革创新的重要突破口，是培育经济新增长点和新动能的迫切需要，是激活消费市场带动扩大就业的必然之举，是抢占未来经济发展区域制高点的战略选择。</w:t>
      </w:r>
    </w:p>
    <w:p>
      <w:pPr>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为促进新业态、新模式发展，打造数字经济新优势，根据《国务院办公厅关于以新业态新模式引领新型消费加快发展的意见》、</w:t>
      </w:r>
      <w:r>
        <w:rPr>
          <w:rFonts w:hint="eastAsia" w:ascii="Times New Roman" w:hAnsi="Times New Roman" w:eastAsia="仿宋"/>
          <w:color w:val="auto"/>
          <w:sz w:val="32"/>
          <w:szCs w:val="32"/>
        </w:rPr>
        <w:t>《晋城市新业态、现代服务业“十四五”发展规划》</w:t>
      </w:r>
      <w:r>
        <w:rPr>
          <w:rFonts w:hint="eastAsia" w:ascii="Times New Roman" w:hAnsi="Times New Roman" w:eastAsia="仿宋"/>
          <w:color w:val="auto"/>
          <w:sz w:val="32"/>
          <w:szCs w:val="32"/>
          <w:lang w:val="en-US" w:eastAsia="zh-CN"/>
        </w:rPr>
        <w:t>和</w:t>
      </w:r>
      <w:r>
        <w:rPr>
          <w:rFonts w:hint="eastAsia" w:ascii="Times New Roman" w:hAnsi="Times New Roman" w:eastAsia="仿宋"/>
          <w:color w:val="auto"/>
          <w:sz w:val="32"/>
          <w:szCs w:val="32"/>
        </w:rPr>
        <w:t>《阳城县国民经济和社会发展第十四个五年（</w:t>
      </w:r>
      <w:r>
        <w:rPr>
          <w:rFonts w:ascii="Times New Roman" w:hAnsi="Times New Roman" w:eastAsia="仿宋"/>
          <w:color w:val="auto"/>
          <w:sz w:val="32"/>
          <w:szCs w:val="32"/>
        </w:rPr>
        <w:t>2021-2025年）规划纲要</w:t>
      </w:r>
      <w:r>
        <w:rPr>
          <w:rFonts w:hint="eastAsia" w:ascii="Times New Roman" w:hAnsi="Times New Roman" w:eastAsia="仿宋"/>
          <w:color w:val="auto"/>
          <w:sz w:val="32"/>
          <w:szCs w:val="32"/>
        </w:rPr>
        <w:t>》等文件精神，特编制本规划。</w:t>
      </w:r>
    </w:p>
    <w:p>
      <w:pPr>
        <w:pStyle w:val="2"/>
        <w:spacing w:before="0" w:after="0" w:line="360" w:lineRule="auto"/>
        <w:ind w:firstLine="600" w:firstLineChars="200"/>
        <w:rPr>
          <w:rFonts w:ascii="黑体" w:hAnsi="黑体" w:eastAsia="黑体"/>
          <w:b w:val="0"/>
          <w:bCs w:val="0"/>
          <w:color w:val="auto"/>
          <w:sz w:val="30"/>
          <w:szCs w:val="30"/>
        </w:rPr>
      </w:pPr>
      <w:bookmarkStart w:id="0" w:name="_Toc29823"/>
      <w:r>
        <w:rPr>
          <w:rFonts w:hint="eastAsia" w:ascii="黑体" w:hAnsi="黑体" w:eastAsia="黑体"/>
          <w:b w:val="0"/>
          <w:bCs w:val="0"/>
          <w:color w:val="auto"/>
          <w:sz w:val="30"/>
          <w:szCs w:val="30"/>
        </w:rPr>
        <w:t>一、发展背景</w:t>
      </w:r>
      <w:bookmarkEnd w:id="0"/>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1" w:name="_Toc1653"/>
      <w:r>
        <w:rPr>
          <w:rFonts w:hint="eastAsia" w:ascii="Times New Roman" w:hAnsi="Times New Roman" w:eastAsia="仿宋"/>
          <w:b/>
          <w:bCs/>
          <w:color w:val="auto"/>
          <w:sz w:val="32"/>
          <w:szCs w:val="32"/>
        </w:rPr>
        <w:t>（一）发展基础</w:t>
      </w:r>
      <w:bookmarkEnd w:id="1"/>
    </w:p>
    <w:p>
      <w:pPr>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“十三五”时期，全县紧紧围绕“</w:t>
      </w:r>
      <w:r>
        <w:rPr>
          <w:rFonts w:ascii="Times New Roman" w:hAnsi="Times New Roman" w:eastAsia="仿宋"/>
          <w:color w:val="auto"/>
          <w:sz w:val="32"/>
          <w:szCs w:val="32"/>
        </w:rPr>
        <w:t>4+1</w:t>
      </w:r>
      <w:r>
        <w:rPr>
          <w:rFonts w:hint="eastAsia" w:ascii="Times New Roman" w:hAnsi="Times New Roman" w:eastAsia="仿宋"/>
          <w:color w:val="auto"/>
          <w:sz w:val="32"/>
          <w:szCs w:val="32"/>
          <w:lang w:eastAsia="zh-CN"/>
        </w:rPr>
        <w:t>”</w:t>
      </w:r>
      <w:r>
        <w:rPr>
          <w:rFonts w:ascii="Times New Roman" w:hAnsi="Times New Roman" w:eastAsia="仿宋"/>
          <w:color w:val="auto"/>
          <w:sz w:val="32"/>
          <w:szCs w:val="32"/>
        </w:rPr>
        <w:t>高质量转型目标</w:t>
      </w:r>
      <w:r>
        <w:rPr>
          <w:rFonts w:hint="eastAsia" w:ascii="Times New Roman" w:hAnsi="Times New Roman" w:eastAsia="仿宋"/>
          <w:color w:val="auto"/>
          <w:sz w:val="32"/>
          <w:szCs w:val="32"/>
        </w:rPr>
        <w:t>，</w:t>
      </w:r>
      <w:r>
        <w:rPr>
          <w:rFonts w:ascii="Times New Roman" w:hAnsi="Times New Roman" w:eastAsia="仿宋"/>
          <w:color w:val="auto"/>
          <w:sz w:val="32"/>
          <w:szCs w:val="32"/>
        </w:rPr>
        <w:t>以创新驱动、转型升级为主线，持续实施</w:t>
      </w:r>
      <w:r>
        <w:rPr>
          <w:rFonts w:hint="eastAsia" w:ascii="Times New Roman" w:hAnsi="Times New Roman" w:eastAsia="仿宋"/>
          <w:color w:val="auto"/>
          <w:sz w:val="32"/>
          <w:szCs w:val="32"/>
          <w:lang w:eastAsia="zh-CN"/>
        </w:rPr>
        <w:t>“</w:t>
      </w:r>
      <w:r>
        <w:rPr>
          <w:rFonts w:ascii="Times New Roman" w:hAnsi="Times New Roman" w:eastAsia="仿宋"/>
          <w:color w:val="auto"/>
          <w:sz w:val="32"/>
          <w:szCs w:val="32"/>
        </w:rPr>
        <w:t>田园城市、美丽乡村、产城融合、城乡一体</w:t>
      </w:r>
      <w:r>
        <w:rPr>
          <w:rFonts w:hint="eastAsia" w:ascii="Times New Roman" w:hAnsi="Times New Roman" w:eastAsia="仿宋"/>
          <w:color w:val="auto"/>
          <w:sz w:val="32"/>
          <w:szCs w:val="32"/>
          <w:lang w:eastAsia="zh-CN"/>
        </w:rPr>
        <w:t>”</w:t>
      </w:r>
      <w:r>
        <w:rPr>
          <w:rFonts w:ascii="Times New Roman" w:hAnsi="Times New Roman" w:eastAsia="仿宋"/>
          <w:color w:val="auto"/>
          <w:sz w:val="32"/>
          <w:szCs w:val="32"/>
        </w:rPr>
        <w:t>发展战略</w:t>
      </w:r>
      <w:r>
        <w:rPr>
          <w:rFonts w:hint="eastAsia" w:ascii="Times New Roman" w:hAnsi="Times New Roman" w:eastAsia="仿宋"/>
          <w:color w:val="auto"/>
          <w:sz w:val="32"/>
          <w:szCs w:val="32"/>
        </w:rPr>
        <w:t>，积极打造</w:t>
      </w:r>
      <w:r>
        <w:rPr>
          <w:rFonts w:ascii="Times New Roman" w:hAnsi="Times New Roman" w:eastAsia="仿宋"/>
          <w:color w:val="auto"/>
          <w:sz w:val="32"/>
          <w:szCs w:val="32"/>
        </w:rPr>
        <w:t>5G网络</w:t>
      </w:r>
      <w:r>
        <w:rPr>
          <w:rFonts w:hint="eastAsia" w:ascii="Times New Roman" w:hAnsi="Times New Roman" w:eastAsia="仿宋"/>
          <w:color w:val="auto"/>
          <w:sz w:val="32"/>
          <w:szCs w:val="32"/>
        </w:rPr>
        <w:t>商用</w:t>
      </w:r>
      <w:r>
        <w:rPr>
          <w:rFonts w:ascii="Times New Roman" w:hAnsi="Times New Roman" w:eastAsia="仿宋"/>
          <w:color w:val="auto"/>
          <w:sz w:val="32"/>
          <w:szCs w:val="32"/>
        </w:rPr>
        <w:t>先行区</w:t>
      </w:r>
      <w:r>
        <w:rPr>
          <w:rFonts w:hint="eastAsia" w:ascii="Times New Roman" w:hAnsi="Times New Roman" w:eastAsia="仿宋"/>
          <w:color w:val="auto"/>
          <w:sz w:val="32"/>
          <w:szCs w:val="32"/>
        </w:rPr>
        <w:t>，互联网与各行业广泛融合，</w:t>
      </w:r>
      <w:r>
        <w:rPr>
          <w:rFonts w:ascii="Times New Roman" w:hAnsi="Times New Roman" w:eastAsia="仿宋"/>
          <w:color w:val="auto"/>
          <w:sz w:val="32"/>
          <w:szCs w:val="32"/>
        </w:rPr>
        <w:t>新业态体系基础</w:t>
      </w:r>
      <w:r>
        <w:rPr>
          <w:rFonts w:hint="eastAsia" w:ascii="Times New Roman" w:hAnsi="Times New Roman" w:eastAsia="仿宋"/>
          <w:color w:val="auto"/>
          <w:sz w:val="32"/>
          <w:szCs w:val="32"/>
        </w:rPr>
        <w:t>有效</w:t>
      </w:r>
      <w:r>
        <w:rPr>
          <w:rFonts w:ascii="Times New Roman" w:hAnsi="Times New Roman" w:eastAsia="仿宋"/>
          <w:color w:val="auto"/>
          <w:sz w:val="32"/>
          <w:szCs w:val="32"/>
        </w:rPr>
        <w:t>夯实</w:t>
      </w:r>
      <w:r>
        <w:rPr>
          <w:rFonts w:hint="eastAsia" w:ascii="Times New Roman" w:hAnsi="Times New Roman" w:eastAsia="仿宋"/>
          <w:color w:val="auto"/>
          <w:sz w:val="32"/>
          <w:szCs w:val="32"/>
        </w:rPr>
        <w:t>。</w:t>
      </w:r>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1.产业集聚日趋凸显。</w:t>
      </w:r>
      <w:r>
        <w:rPr>
          <w:rFonts w:hint="eastAsia" w:ascii="Times New Roman" w:hAnsi="Times New Roman" w:eastAsia="仿宋"/>
          <w:color w:val="auto"/>
          <w:sz w:val="32"/>
          <w:szCs w:val="32"/>
        </w:rPr>
        <w:t>充分发挥我县区位优势和产业基础，大力推动产业集聚集约发展，建设省级开发区——阳城经济技术开发区，并整合演礼新兴产业园、安阳陶瓷工业园、芦苇河清洁能源与物流园，形成“一区三园”新格局。其中演礼新兴产业园22平方公里，集聚“高、精、特、新、轻”产业，打造新兴产业融合创业平台；安阳陶瓷工业园15平方公里，集聚建筑瓷、日用瓷、艺术瓷、文化瓷、琉璃瓷产业，打造中国建筑陶瓷产销基地；芦苇河清洁能源与物流园8平方公里，集聚无烟煤、煤层气、化工、陶瓷、蚕桑产业，打造集仓储、运输、配送、流通、加工、服务和商贸于一体的现代绿色生态物流园。产业集聚发展，为培育壮大新业态提供阵地保障。</w:t>
      </w:r>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2.智能生产全面启动。</w:t>
      </w:r>
      <w:r>
        <w:rPr>
          <w:rFonts w:hint="eastAsia" w:ascii="Times New Roman" w:hAnsi="Times New Roman" w:eastAsia="仿宋"/>
          <w:color w:val="auto"/>
          <w:sz w:val="32"/>
          <w:szCs w:val="32"/>
        </w:rPr>
        <w:t>加快建设和发展工业互联网，促进新一代信息技术与采矿业、制造业深度融合，推动实体经济转型升级。阳泰集团等骨干企业与晋城联通签订“</w:t>
      </w:r>
      <w:r>
        <w:rPr>
          <w:rFonts w:ascii="Times New Roman" w:hAnsi="Times New Roman" w:eastAsia="仿宋"/>
          <w:color w:val="auto"/>
          <w:sz w:val="32"/>
          <w:szCs w:val="32"/>
        </w:rPr>
        <w:t>5G+智能矿山</w:t>
      </w:r>
      <w:r>
        <w:rPr>
          <w:rFonts w:hint="eastAsia" w:ascii="Times New Roman" w:hAnsi="Times New Roman" w:eastAsia="仿宋"/>
          <w:color w:val="auto"/>
          <w:sz w:val="32"/>
          <w:szCs w:val="32"/>
          <w:lang w:eastAsia="zh-CN"/>
        </w:rPr>
        <w:t>”</w:t>
      </w:r>
      <w:r>
        <w:rPr>
          <w:rFonts w:ascii="Times New Roman" w:hAnsi="Times New Roman" w:eastAsia="仿宋"/>
          <w:color w:val="auto"/>
          <w:sz w:val="32"/>
          <w:szCs w:val="32"/>
        </w:rPr>
        <w:t>战略合作协议</w:t>
      </w:r>
      <w:r>
        <w:rPr>
          <w:rFonts w:hint="eastAsia" w:ascii="Times New Roman" w:hAnsi="Times New Roman" w:eastAsia="仿宋"/>
          <w:color w:val="auto"/>
          <w:sz w:val="32"/>
          <w:szCs w:val="32"/>
        </w:rPr>
        <w:t>，应用</w:t>
      </w:r>
      <w:r>
        <w:rPr>
          <w:rFonts w:ascii="Times New Roman" w:hAnsi="Times New Roman" w:eastAsia="仿宋"/>
          <w:color w:val="auto"/>
          <w:sz w:val="32"/>
          <w:szCs w:val="32"/>
        </w:rPr>
        <w:t>5G和机器人技术推动煤矿智能化建设</w:t>
      </w:r>
      <w:r>
        <w:rPr>
          <w:rFonts w:hint="eastAsia" w:ascii="Times New Roman" w:hAnsi="Times New Roman" w:eastAsia="仿宋"/>
          <w:color w:val="auto"/>
          <w:sz w:val="32"/>
          <w:szCs w:val="32"/>
        </w:rPr>
        <w:t>，开启智能化绿色开采新时代。阳城经济技术开发区与晋城移动分公司签订</w:t>
      </w:r>
      <w:r>
        <w:rPr>
          <w:rFonts w:ascii="Times New Roman" w:hAnsi="Times New Roman" w:eastAsia="仿宋"/>
          <w:color w:val="auto"/>
          <w:sz w:val="32"/>
          <w:szCs w:val="32"/>
        </w:rPr>
        <w:t>5G战略合作</w:t>
      </w:r>
      <w:r>
        <w:rPr>
          <w:rFonts w:hint="eastAsia" w:ascii="Times New Roman" w:hAnsi="Times New Roman" w:eastAsia="仿宋"/>
          <w:color w:val="auto"/>
          <w:sz w:val="32"/>
          <w:szCs w:val="32"/>
        </w:rPr>
        <w:t>，深入开展“云</w:t>
      </w:r>
      <w:r>
        <w:rPr>
          <w:rFonts w:ascii="Times New Roman" w:hAnsi="Times New Roman" w:eastAsia="仿宋"/>
          <w:color w:val="auto"/>
          <w:sz w:val="32"/>
          <w:szCs w:val="32"/>
        </w:rPr>
        <w:t>+网+应用</w:t>
      </w:r>
      <w:r>
        <w:rPr>
          <w:rFonts w:hint="eastAsia" w:ascii="Times New Roman" w:hAnsi="Times New Roman" w:eastAsia="仿宋"/>
          <w:color w:val="auto"/>
          <w:sz w:val="32"/>
          <w:szCs w:val="32"/>
        </w:rPr>
        <w:t>”</w:t>
      </w:r>
      <w:r>
        <w:rPr>
          <w:rFonts w:ascii="Times New Roman" w:hAnsi="Times New Roman" w:eastAsia="仿宋"/>
          <w:color w:val="auto"/>
          <w:sz w:val="32"/>
          <w:szCs w:val="32"/>
        </w:rPr>
        <w:t>的创新实践，打造5G园区创新孵化基地，开展信息化、工业制造、行业应用等5G场景创新</w:t>
      </w:r>
      <w:r>
        <w:rPr>
          <w:rFonts w:hint="eastAsia" w:ascii="Times New Roman" w:hAnsi="Times New Roman" w:eastAsia="仿宋"/>
          <w:color w:val="auto"/>
          <w:sz w:val="32"/>
          <w:szCs w:val="32"/>
        </w:rPr>
        <w:t>。华冠陶瓷等企业通过技术改造实现全流程智能化控制，</w:t>
      </w:r>
      <w:r>
        <w:rPr>
          <w:rFonts w:ascii="Times New Roman" w:hAnsi="Times New Roman" w:eastAsia="仿宋"/>
          <w:color w:val="auto"/>
          <w:sz w:val="32"/>
          <w:szCs w:val="32"/>
        </w:rPr>
        <w:t>实现经济与生态环境的绿色、和谐发展，为陶瓷企业高质量转型发展树立了标杆、蹚出了一条新路。</w:t>
      </w:r>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3.产业链条不断延长。</w:t>
      </w:r>
      <w:r>
        <w:rPr>
          <w:rFonts w:hint="eastAsia" w:ascii="Times New Roman" w:hAnsi="Times New Roman" w:eastAsia="仿宋"/>
          <w:color w:val="auto"/>
          <w:sz w:val="32"/>
          <w:szCs w:val="32"/>
        </w:rPr>
        <w:t>聚力打造全产业链集群发展，大力引导和支持企业</w:t>
      </w:r>
      <w:r>
        <w:rPr>
          <w:rFonts w:ascii="Times New Roman" w:hAnsi="Times New Roman" w:eastAsia="仿宋"/>
          <w:color w:val="auto"/>
          <w:sz w:val="32"/>
          <w:szCs w:val="32"/>
        </w:rPr>
        <w:t>延长产业链提升价值链拓宽增收链</w:t>
      </w:r>
      <w:r>
        <w:rPr>
          <w:rFonts w:hint="eastAsia" w:ascii="Times New Roman" w:hAnsi="Times New Roman" w:eastAsia="仿宋"/>
          <w:color w:val="auto"/>
          <w:sz w:val="32"/>
          <w:szCs w:val="32"/>
        </w:rPr>
        <w:t>。煤炭行业拓展劣质无烟煤和煤泥综合利用新途径，煤转电、煤转肥迈出坚实步伐，阳电在国内第一个实现变输煤为输电，年转化煤炭700多万吨，年发电量110亿千瓦时；阳城晋煤能源公司利用煤矿固体废弃物进行发电兼供热，年消耗煤泥、煤矸石120万吨，发电量近15亿千瓦时；兰花阳城化肥公司、晋煤金象煤化工公司、兰花田悦化肥公司等企业通过煤转肥，年就地消化130万吨原煤，年产尿素110万吨。陶瓷行业聚焦全产业链发展，形成了以建筑瓷、日用瓷、工业瓷、琉璃制品为主体的产业格局。大力引导和支持蚕桑企业开展蚕桑副产品的综合加工利用，蚕茧产业大力推广桑禽、桑菜、桑薯、桑菌套种套养和集育苗、养蚕、桑果茧丝深加工为一体的立体循环经济发展新模式。</w:t>
      </w:r>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4.产业融合成效</w:t>
      </w:r>
      <w:r>
        <w:rPr>
          <w:rFonts w:hint="eastAsia" w:ascii="Times New Roman" w:hAnsi="Times New Roman" w:eastAsia="仿宋"/>
          <w:b/>
          <w:bCs/>
          <w:color w:val="auto"/>
          <w:sz w:val="32"/>
          <w:szCs w:val="32"/>
        </w:rPr>
        <w:t>初显</w:t>
      </w:r>
      <w:r>
        <w:rPr>
          <w:rFonts w:hint="eastAsia" w:ascii="Times New Roman" w:hAnsi="Times New Roman" w:eastAsia="仿宋"/>
          <w:b/>
          <w:bCs/>
          <w:color w:val="auto"/>
          <w:sz w:val="32"/>
          <w:szCs w:val="32"/>
        </w:rPr>
        <w:t>。</w:t>
      </w:r>
      <w:r>
        <w:rPr>
          <w:rFonts w:hint="eastAsia" w:ascii="Times New Roman" w:hAnsi="Times New Roman" w:eastAsia="仿宋"/>
          <w:color w:val="auto"/>
          <w:sz w:val="32"/>
          <w:szCs w:val="32"/>
        </w:rPr>
        <w:t>以打造全域旅游发展样板和农林文旅康产业融合发展示范区为抓手，持续实施了全域整合、全景打造、全业融合、全民参与和乡村旅游、全域旅游、四季旅游、全民旅游“四全四游”发展战略，加快一二三产业融合发展。在全省率先开展景区建设与美丽乡村连片区建设相融合的先行实践，全县范围内形成了“一城一圈一道一园一带一廊一线”的“七个一”全域旅游空间格局。</w:t>
      </w:r>
      <w:r>
        <w:rPr>
          <w:rFonts w:ascii="Times New Roman" w:hAnsi="Times New Roman" w:eastAsia="仿宋"/>
          <w:color w:val="auto"/>
          <w:sz w:val="32"/>
          <w:szCs w:val="32"/>
        </w:rPr>
        <w:t>农林文旅康产业融合发展蟒河先行区建设全面启动，桑林山茱萸康养园、东观甜蜜小镇、麻娄坪甜蜜谷等10个精品项目全面铺开</w:t>
      </w:r>
      <w:r>
        <w:rPr>
          <w:rFonts w:hint="eastAsia" w:ascii="Times New Roman" w:hAnsi="Times New Roman" w:eastAsia="仿宋"/>
          <w:color w:val="auto"/>
          <w:sz w:val="32"/>
          <w:szCs w:val="32"/>
        </w:rPr>
        <w:t>。</w:t>
      </w:r>
      <w:r>
        <w:rPr>
          <w:rFonts w:ascii="Times New Roman" w:hAnsi="Times New Roman" w:eastAsia="仿宋"/>
          <w:color w:val="auto"/>
          <w:sz w:val="32"/>
          <w:szCs w:val="32"/>
        </w:rPr>
        <w:t>连续举办</w:t>
      </w:r>
      <w:r>
        <w:rPr>
          <w:rFonts w:hint="eastAsia" w:ascii="Times New Roman" w:hAnsi="Times New Roman" w:eastAsia="仿宋"/>
          <w:color w:val="auto"/>
          <w:sz w:val="32"/>
          <w:szCs w:val="32"/>
        </w:rPr>
        <w:t>“</w:t>
      </w:r>
      <w:r>
        <w:rPr>
          <w:rFonts w:ascii="Times New Roman" w:hAnsi="Times New Roman" w:eastAsia="仿宋"/>
          <w:color w:val="auto"/>
          <w:sz w:val="32"/>
          <w:szCs w:val="32"/>
        </w:rPr>
        <w:t>中国阳城国际徒步大会</w:t>
      </w:r>
      <w:r>
        <w:rPr>
          <w:rFonts w:hint="eastAsia" w:ascii="Times New Roman" w:hAnsi="Times New Roman" w:eastAsia="仿宋"/>
          <w:color w:val="auto"/>
          <w:sz w:val="32"/>
          <w:szCs w:val="32"/>
        </w:rPr>
        <w:t>”、“</w:t>
      </w:r>
      <w:r>
        <w:rPr>
          <w:rFonts w:ascii="Times New Roman" w:hAnsi="Times New Roman" w:eastAsia="仿宋"/>
          <w:color w:val="auto"/>
          <w:sz w:val="32"/>
          <w:szCs w:val="32"/>
        </w:rPr>
        <w:t>农业嘉年华</w:t>
      </w:r>
      <w:r>
        <w:rPr>
          <w:rFonts w:hint="eastAsia" w:ascii="Times New Roman" w:hAnsi="Times New Roman" w:eastAsia="仿宋"/>
          <w:color w:val="auto"/>
          <w:sz w:val="32"/>
          <w:szCs w:val="32"/>
        </w:rPr>
        <w:t>”、“跟着书籍游阳城”和“阳城山地国际马拉松”等大型活动，打响“悠然阳城·康养胜地”品牌。截至2020年年末，</w:t>
      </w:r>
      <w:r>
        <w:rPr>
          <w:rFonts w:ascii="Times New Roman" w:hAnsi="Times New Roman" w:eastAsia="仿宋"/>
          <w:color w:val="auto"/>
          <w:sz w:val="32"/>
          <w:szCs w:val="32"/>
        </w:rPr>
        <w:t>全县拥有3A级以上旅游景区10家</w:t>
      </w:r>
      <w:r>
        <w:rPr>
          <w:rFonts w:hint="eastAsia" w:ascii="Times New Roman" w:hAnsi="Times New Roman" w:eastAsia="仿宋"/>
          <w:color w:val="auto"/>
          <w:sz w:val="32"/>
          <w:szCs w:val="32"/>
        </w:rPr>
        <w:t>（包括</w:t>
      </w:r>
      <w:r>
        <w:rPr>
          <w:rFonts w:ascii="Times New Roman" w:hAnsi="Times New Roman" w:eastAsia="仿宋"/>
          <w:color w:val="auto"/>
          <w:sz w:val="32"/>
          <w:szCs w:val="32"/>
        </w:rPr>
        <w:t>5A级景区1家、4A级景区2家、3A级景区7家</w:t>
      </w:r>
      <w:r>
        <w:rPr>
          <w:rFonts w:hint="eastAsia" w:ascii="Times New Roman" w:hAnsi="Times New Roman" w:eastAsia="仿宋"/>
          <w:color w:val="auto"/>
          <w:sz w:val="32"/>
          <w:szCs w:val="32"/>
        </w:rPr>
        <w:t>）</w:t>
      </w:r>
      <w:r>
        <w:rPr>
          <w:rFonts w:ascii="Times New Roman" w:hAnsi="Times New Roman" w:eastAsia="仿宋"/>
          <w:color w:val="auto"/>
          <w:sz w:val="32"/>
          <w:szCs w:val="32"/>
        </w:rPr>
        <w:t>，省级旅游度假区2家，3A级乡村旅游示范村2家，</w:t>
      </w:r>
      <w:r>
        <w:rPr>
          <w:rFonts w:hint="eastAsia" w:ascii="Times New Roman" w:hAnsi="Times New Roman" w:eastAsia="仿宋"/>
          <w:color w:val="auto"/>
          <w:sz w:val="32"/>
          <w:szCs w:val="32"/>
        </w:rPr>
        <w:t>“</w:t>
      </w:r>
      <w:r>
        <w:rPr>
          <w:rFonts w:ascii="Times New Roman" w:hAnsi="Times New Roman" w:eastAsia="仿宋"/>
          <w:color w:val="auto"/>
          <w:sz w:val="32"/>
          <w:szCs w:val="32"/>
        </w:rPr>
        <w:t>太行人家</w:t>
      </w:r>
      <w:r>
        <w:rPr>
          <w:rFonts w:hint="eastAsia" w:ascii="Times New Roman" w:hAnsi="Times New Roman" w:eastAsia="仿宋"/>
          <w:color w:val="auto"/>
          <w:sz w:val="32"/>
          <w:szCs w:val="32"/>
        </w:rPr>
        <w:t>”7</w:t>
      </w:r>
      <w:r>
        <w:rPr>
          <w:rFonts w:ascii="Times New Roman" w:hAnsi="Times New Roman" w:eastAsia="仿宋"/>
          <w:color w:val="auto"/>
          <w:sz w:val="32"/>
          <w:szCs w:val="32"/>
        </w:rPr>
        <w:t>家</w:t>
      </w:r>
      <w:r>
        <w:rPr>
          <w:rFonts w:hint="eastAsia" w:ascii="Times New Roman" w:hAnsi="Times New Roman" w:eastAsia="仿宋"/>
          <w:color w:val="auto"/>
          <w:sz w:val="32"/>
          <w:szCs w:val="32"/>
        </w:rPr>
        <w:t>，特色小镇5个，农家乐集中连片区5个，旅游特色村10个。全年接待游客从2015年的</w:t>
      </w:r>
      <w:r>
        <w:rPr>
          <w:rFonts w:ascii="Times New Roman" w:hAnsi="Times New Roman" w:eastAsia="仿宋"/>
          <w:color w:val="auto"/>
          <w:sz w:val="32"/>
          <w:szCs w:val="32"/>
        </w:rPr>
        <w:t>800万人次</w:t>
      </w:r>
      <w:r>
        <w:rPr>
          <w:rFonts w:hint="eastAsia" w:ascii="Times New Roman" w:hAnsi="Times New Roman" w:eastAsia="仿宋"/>
          <w:color w:val="auto"/>
          <w:sz w:val="32"/>
          <w:szCs w:val="32"/>
        </w:rPr>
        <w:t>增长到2019年的1477.9万人次，年均增长16.58%；</w:t>
      </w:r>
      <w:r>
        <w:rPr>
          <w:rFonts w:ascii="Times New Roman" w:hAnsi="Times New Roman" w:eastAsia="仿宋"/>
          <w:color w:val="auto"/>
          <w:sz w:val="32"/>
          <w:szCs w:val="32"/>
        </w:rPr>
        <w:t>旅游总收入</w:t>
      </w:r>
      <w:r>
        <w:rPr>
          <w:rFonts w:hint="eastAsia" w:ascii="Times New Roman" w:hAnsi="Times New Roman" w:eastAsia="仿宋"/>
          <w:color w:val="auto"/>
          <w:sz w:val="32"/>
          <w:szCs w:val="32"/>
        </w:rPr>
        <w:t>从2015年的</w:t>
      </w:r>
      <w:r>
        <w:rPr>
          <w:rFonts w:ascii="Times New Roman" w:hAnsi="Times New Roman" w:eastAsia="仿宋"/>
          <w:color w:val="auto"/>
          <w:sz w:val="32"/>
          <w:szCs w:val="32"/>
        </w:rPr>
        <w:t>54.2亿元</w:t>
      </w:r>
      <w:r>
        <w:rPr>
          <w:rFonts w:hint="eastAsia" w:ascii="Times New Roman" w:hAnsi="Times New Roman" w:eastAsia="仿宋"/>
          <w:color w:val="auto"/>
          <w:sz w:val="32"/>
          <w:szCs w:val="32"/>
        </w:rPr>
        <w:t>增长到2019年的137.7亿元，年均增长26.25%</w:t>
      </w:r>
      <w:r>
        <w:rPr>
          <w:rStyle w:val="23"/>
          <w:rFonts w:ascii="Times New Roman" w:hAnsi="Times New Roman" w:eastAsia="仿宋"/>
          <w:color w:val="auto"/>
          <w:sz w:val="32"/>
          <w:szCs w:val="32"/>
        </w:rPr>
        <w:footnoteReference w:id="0"/>
      </w:r>
      <w:r>
        <w:rPr>
          <w:rFonts w:hint="eastAsia" w:ascii="Times New Roman" w:hAnsi="Times New Roman" w:eastAsia="仿宋"/>
          <w:color w:val="auto"/>
          <w:sz w:val="32"/>
          <w:szCs w:val="32"/>
        </w:rPr>
        <w:t>。</w:t>
      </w:r>
    </w:p>
    <w:p>
      <w:pPr>
        <w:rPr>
          <w:rFonts w:ascii="Times New Roman" w:hAnsi="Times New Roman" w:eastAsia="仿宋"/>
          <w:color w:val="auto"/>
          <w:sz w:val="32"/>
          <w:szCs w:val="32"/>
        </w:rPr>
      </w:pPr>
      <w:r>
        <w:rPr>
          <w:rFonts w:hint="eastAsia" w:ascii="Times New Roman" w:hAnsi="Times New Roman" w:eastAsia="仿宋"/>
          <w:color w:val="auto"/>
          <w:sz w:val="32"/>
          <w:szCs w:val="32"/>
        </w:rPr>
        <w:drawing>
          <wp:inline distT="0" distB="0" distL="0" distR="0">
            <wp:extent cx="5274310" cy="3076575"/>
            <wp:effectExtent l="0" t="0" r="254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rFonts w:ascii="Times New Roman" w:hAnsi="Times New Roman" w:eastAsia="仿宋"/>
          <w:b/>
          <w:bCs/>
          <w:color w:val="auto"/>
          <w:sz w:val="32"/>
          <w:szCs w:val="32"/>
        </w:rPr>
      </w:pPr>
      <w:r>
        <w:rPr>
          <w:rFonts w:hint="eastAsia" w:ascii="Times New Roman" w:hAnsi="Times New Roman" w:eastAsia="仿宋"/>
          <w:b/>
          <w:bCs/>
          <w:color w:val="auto"/>
          <w:sz w:val="32"/>
          <w:szCs w:val="32"/>
        </w:rPr>
        <w:t>图1</w:t>
      </w:r>
      <w:r>
        <w:rPr>
          <w:rFonts w:ascii="Times New Roman" w:hAnsi="Times New Roman" w:eastAsia="仿宋"/>
          <w:b/>
          <w:bCs/>
          <w:color w:val="auto"/>
          <w:sz w:val="32"/>
          <w:szCs w:val="32"/>
        </w:rPr>
        <w:t xml:space="preserve">  </w:t>
      </w:r>
      <w:r>
        <w:rPr>
          <w:rFonts w:hint="eastAsia" w:ascii="Times New Roman" w:hAnsi="Times New Roman" w:eastAsia="仿宋"/>
          <w:b/>
          <w:bCs/>
          <w:color w:val="auto"/>
          <w:sz w:val="32"/>
          <w:szCs w:val="32"/>
        </w:rPr>
        <w:t>“十三五”期间阳城县旅游业发展情况</w:t>
      </w:r>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5.平台经济集聚发展。</w:t>
      </w:r>
      <w:r>
        <w:rPr>
          <w:rFonts w:hint="eastAsia" w:ascii="Times New Roman" w:hAnsi="Times New Roman" w:eastAsia="仿宋"/>
          <w:color w:val="auto"/>
          <w:sz w:val="32"/>
          <w:szCs w:val="32"/>
        </w:rPr>
        <w:t>“十三五”期间，</w:t>
      </w:r>
      <w:r>
        <w:rPr>
          <w:rFonts w:ascii="Times New Roman" w:hAnsi="Times New Roman" w:eastAsia="仿宋"/>
          <w:color w:val="auto"/>
          <w:sz w:val="32"/>
          <w:szCs w:val="32"/>
        </w:rPr>
        <w:t>电子商务平台、供应链及物流服务平台、工业（农业）互联网平台、专业综合服务及细分领域服务平台</w:t>
      </w:r>
      <w:r>
        <w:rPr>
          <w:rFonts w:hint="eastAsia" w:ascii="Times New Roman" w:hAnsi="Times New Roman" w:eastAsia="仿宋"/>
          <w:color w:val="auto"/>
          <w:sz w:val="32"/>
          <w:szCs w:val="32"/>
        </w:rPr>
        <w:t>等</w:t>
      </w:r>
      <w:r>
        <w:rPr>
          <w:rFonts w:ascii="Times New Roman" w:hAnsi="Times New Roman" w:eastAsia="仿宋"/>
          <w:color w:val="auto"/>
          <w:sz w:val="32"/>
          <w:szCs w:val="32"/>
        </w:rPr>
        <w:t>在</w:t>
      </w:r>
      <w:r>
        <w:rPr>
          <w:rFonts w:hint="eastAsia" w:ascii="Times New Roman" w:hAnsi="Times New Roman" w:eastAsia="仿宋"/>
          <w:color w:val="auto"/>
          <w:sz w:val="32"/>
          <w:szCs w:val="32"/>
        </w:rPr>
        <w:t>我县</w:t>
      </w:r>
      <w:r>
        <w:rPr>
          <w:rFonts w:hint="eastAsia" w:ascii="Times New Roman" w:hAnsi="Times New Roman" w:eastAsia="仿宋"/>
          <w:color w:val="auto"/>
          <w:sz w:val="32"/>
          <w:szCs w:val="32"/>
          <w:lang w:val="en-US" w:eastAsia="zh-CN"/>
        </w:rPr>
        <w:t>上线运行</w:t>
      </w:r>
      <w:r>
        <w:rPr>
          <w:rFonts w:ascii="Times New Roman" w:hAnsi="Times New Roman" w:eastAsia="仿宋"/>
          <w:color w:val="auto"/>
          <w:sz w:val="32"/>
          <w:szCs w:val="32"/>
        </w:rPr>
        <w:t>。</w:t>
      </w:r>
      <w:r>
        <w:rPr>
          <w:rFonts w:hint="eastAsia" w:ascii="Times New Roman" w:hAnsi="Times New Roman" w:eastAsia="仿宋"/>
          <w:color w:val="auto"/>
          <w:sz w:val="32"/>
          <w:szCs w:val="32"/>
        </w:rPr>
        <w:t>建成全省首家县域电商产业园——阳城县电商产业园，建成全省第二家“快递</w:t>
      </w:r>
      <w:r>
        <w:rPr>
          <w:rFonts w:ascii="Times New Roman" w:hAnsi="Times New Roman" w:eastAsia="仿宋"/>
          <w:color w:val="auto"/>
          <w:sz w:val="32"/>
          <w:szCs w:val="32"/>
        </w:rPr>
        <w:t>+电商</w:t>
      </w:r>
      <w:r>
        <w:rPr>
          <w:rFonts w:hint="eastAsia" w:ascii="Times New Roman" w:hAnsi="Times New Roman" w:eastAsia="仿宋"/>
          <w:color w:val="auto"/>
          <w:sz w:val="32"/>
          <w:szCs w:val="32"/>
        </w:rPr>
        <w:t>”培训</w:t>
      </w:r>
      <w:r>
        <w:rPr>
          <w:rFonts w:ascii="Times New Roman" w:hAnsi="Times New Roman" w:eastAsia="仿宋"/>
          <w:color w:val="auto"/>
          <w:sz w:val="32"/>
          <w:szCs w:val="32"/>
        </w:rPr>
        <w:t>基地</w:t>
      </w:r>
      <w:r>
        <w:rPr>
          <w:rFonts w:hint="eastAsia" w:ascii="Times New Roman" w:hAnsi="Times New Roman" w:eastAsia="仿宋"/>
          <w:color w:val="auto"/>
          <w:sz w:val="32"/>
          <w:szCs w:val="32"/>
        </w:rPr>
        <w:t>，推动当地农村</w:t>
      </w:r>
      <w:r>
        <w:rPr>
          <w:rFonts w:ascii="Times New Roman" w:hAnsi="Times New Roman" w:eastAsia="仿宋"/>
          <w:color w:val="auto"/>
          <w:sz w:val="32"/>
          <w:szCs w:val="32"/>
        </w:rPr>
        <w:t>与一城一品、农村淘宝、京东、苏宁、1号店等知名电商平台的合作</w:t>
      </w:r>
      <w:r>
        <w:rPr>
          <w:rFonts w:hint="eastAsia" w:ascii="Times New Roman" w:hAnsi="Times New Roman" w:eastAsia="仿宋"/>
          <w:color w:val="auto"/>
          <w:sz w:val="32"/>
          <w:szCs w:val="32"/>
        </w:rPr>
        <w:t>，实现当地特色产品“买进来，走出去”的国内国际共同发展。阳城乐村淘将村镇小卖铺升级为乐村淘线下体验店，通过与村镇用户全流程无缝对接的新型</w:t>
      </w:r>
      <w:r>
        <w:rPr>
          <w:rFonts w:ascii="Times New Roman" w:hAnsi="Times New Roman" w:eastAsia="仿宋"/>
          <w:color w:val="auto"/>
          <w:sz w:val="32"/>
          <w:szCs w:val="32"/>
        </w:rPr>
        <w:t>O2O商业模式</w:t>
      </w:r>
      <w:r>
        <w:rPr>
          <w:rFonts w:hint="eastAsia" w:ascii="Times New Roman" w:hAnsi="Times New Roman" w:eastAsia="仿宋"/>
          <w:color w:val="auto"/>
          <w:sz w:val="32"/>
          <w:szCs w:val="32"/>
        </w:rPr>
        <w:t>，帮助农民实现网上购物和网上销售农产品。菜篮子商城采取O</w:t>
      </w:r>
      <w:r>
        <w:rPr>
          <w:rFonts w:ascii="Times New Roman" w:hAnsi="Times New Roman" w:eastAsia="仿宋"/>
          <w:color w:val="auto"/>
          <w:sz w:val="32"/>
          <w:szCs w:val="32"/>
        </w:rPr>
        <w:t>2O生鲜连锁电商</w:t>
      </w:r>
      <w:r>
        <w:rPr>
          <w:rFonts w:hint="eastAsia" w:ascii="Times New Roman" w:hAnsi="Times New Roman" w:eastAsia="仿宋"/>
          <w:color w:val="auto"/>
          <w:sz w:val="32"/>
          <w:szCs w:val="32"/>
        </w:rPr>
        <w:t>运营模式，实现了蔬菜基地、超市、用户的实时对接。优煤易购自建全国民用清洁煤B</w:t>
      </w:r>
      <w:r>
        <w:rPr>
          <w:rFonts w:ascii="Times New Roman" w:hAnsi="Times New Roman" w:eastAsia="仿宋"/>
          <w:color w:val="auto"/>
          <w:sz w:val="32"/>
          <w:szCs w:val="32"/>
        </w:rPr>
        <w:t>2C</w:t>
      </w:r>
      <w:r>
        <w:rPr>
          <w:rFonts w:hint="eastAsia" w:ascii="Times New Roman" w:hAnsi="Times New Roman" w:eastAsia="仿宋"/>
          <w:color w:val="auto"/>
          <w:sz w:val="32"/>
          <w:szCs w:val="32"/>
        </w:rPr>
        <w:t>平台，通过“优资汇网平台+线下渠道”方式，实现了上游煤企与终端用户的无缝对接。上线“</w:t>
      </w:r>
      <w:r>
        <w:rPr>
          <w:rFonts w:ascii="Times New Roman" w:hAnsi="Times New Roman" w:eastAsia="仿宋"/>
          <w:color w:val="auto"/>
          <w:sz w:val="32"/>
          <w:szCs w:val="32"/>
        </w:rPr>
        <w:t>悠然阳城</w:t>
      </w:r>
      <w:r>
        <w:rPr>
          <w:rFonts w:hint="eastAsia" w:ascii="Times New Roman" w:hAnsi="Times New Roman" w:eastAsia="仿宋"/>
          <w:color w:val="auto"/>
          <w:sz w:val="32"/>
          <w:szCs w:val="32"/>
        </w:rPr>
        <w:t>”</w:t>
      </w:r>
      <w:r>
        <w:rPr>
          <w:rFonts w:ascii="Times New Roman" w:hAnsi="Times New Roman" w:eastAsia="仿宋"/>
          <w:color w:val="auto"/>
          <w:sz w:val="32"/>
          <w:szCs w:val="32"/>
        </w:rPr>
        <w:t>微信小程序，实现智能导游、电子讲解、在线预订和实时信息推送等功能</w:t>
      </w:r>
      <w:r>
        <w:rPr>
          <w:rFonts w:hint="eastAsia" w:ascii="Times New Roman" w:hAnsi="Times New Roman" w:eastAsia="仿宋"/>
          <w:color w:val="auto"/>
          <w:sz w:val="32"/>
          <w:szCs w:val="32"/>
        </w:rPr>
        <w:t>，全域旅游发展迈入了智慧旅游新时代</w:t>
      </w:r>
      <w:r>
        <w:rPr>
          <w:rFonts w:ascii="Times New Roman" w:hAnsi="Times New Roman" w:eastAsia="仿宋"/>
          <w:color w:val="auto"/>
          <w:sz w:val="32"/>
          <w:szCs w:val="32"/>
        </w:rPr>
        <w:t>。</w:t>
      </w:r>
    </w:p>
    <w:p>
      <w:pPr>
        <w:ind w:firstLine="643" w:firstLineChars="200"/>
        <w:rPr>
          <w:rFonts w:ascii="Times New Roman" w:hAnsi="Times New Roman" w:eastAsia="仿宋"/>
          <w:color w:val="auto"/>
          <w:sz w:val="32"/>
          <w:szCs w:val="32"/>
        </w:rPr>
      </w:pPr>
      <w:r>
        <w:rPr>
          <w:rFonts w:ascii="Times New Roman" w:hAnsi="Times New Roman" w:eastAsia="仿宋"/>
          <w:b/>
          <w:bCs/>
          <w:color w:val="auto"/>
          <w:sz w:val="32"/>
          <w:szCs w:val="32"/>
        </w:rPr>
        <w:t>6</w:t>
      </w:r>
      <w:r>
        <w:rPr>
          <w:rFonts w:hint="eastAsia" w:ascii="Times New Roman" w:hAnsi="Times New Roman" w:eastAsia="仿宋"/>
          <w:b/>
          <w:bCs/>
          <w:color w:val="auto"/>
          <w:sz w:val="32"/>
          <w:szCs w:val="32"/>
        </w:rPr>
        <w:t>.网络基础不断完善。</w:t>
      </w:r>
      <w:r>
        <w:rPr>
          <w:rFonts w:hint="eastAsia" w:ascii="Times New Roman" w:hAnsi="Times New Roman" w:eastAsia="仿宋"/>
          <w:color w:val="auto"/>
          <w:sz w:val="32"/>
          <w:szCs w:val="32"/>
        </w:rPr>
        <w:t>县人民政府于2020年5月印发《阳城县加快</w:t>
      </w:r>
      <w:r>
        <w:rPr>
          <w:rFonts w:ascii="Times New Roman" w:hAnsi="Times New Roman" w:eastAsia="仿宋"/>
          <w:color w:val="auto"/>
          <w:sz w:val="32"/>
          <w:szCs w:val="32"/>
        </w:rPr>
        <w:t>5G产业发展实施方案</w:t>
      </w:r>
      <w:r>
        <w:rPr>
          <w:rFonts w:hint="eastAsia" w:ascii="Times New Roman" w:hAnsi="Times New Roman" w:eastAsia="仿宋"/>
          <w:color w:val="auto"/>
          <w:sz w:val="32"/>
          <w:szCs w:val="32"/>
        </w:rPr>
        <w:t>》，</w:t>
      </w:r>
      <w:r>
        <w:rPr>
          <w:rFonts w:ascii="Times New Roman" w:hAnsi="Times New Roman" w:eastAsia="仿宋"/>
          <w:color w:val="auto"/>
          <w:sz w:val="32"/>
          <w:szCs w:val="32"/>
        </w:rPr>
        <w:t>加快5G网络建设部署</w:t>
      </w:r>
      <w:r>
        <w:rPr>
          <w:rFonts w:hint="eastAsia" w:ascii="Times New Roman" w:hAnsi="Times New Roman" w:eastAsia="仿宋"/>
          <w:color w:val="auto"/>
          <w:sz w:val="32"/>
          <w:szCs w:val="32"/>
        </w:rPr>
        <w:t>，</w:t>
      </w:r>
      <w:r>
        <w:rPr>
          <w:rFonts w:ascii="Times New Roman" w:hAnsi="Times New Roman" w:eastAsia="仿宋"/>
          <w:color w:val="auto"/>
          <w:sz w:val="32"/>
          <w:szCs w:val="32"/>
        </w:rPr>
        <w:t>2020年底前累计建成5G基站103座，运营商开通5G信号基站29座</w:t>
      </w:r>
      <w:r>
        <w:rPr>
          <w:rFonts w:hint="eastAsia" w:ascii="Times New Roman" w:hAnsi="Times New Roman" w:eastAsia="仿宋"/>
          <w:color w:val="auto"/>
          <w:sz w:val="32"/>
          <w:szCs w:val="32"/>
        </w:rPr>
        <w:t>，部分</w:t>
      </w:r>
      <w:r>
        <w:rPr>
          <w:rFonts w:ascii="Times New Roman" w:hAnsi="Times New Roman" w:eastAsia="仿宋"/>
          <w:color w:val="auto"/>
          <w:sz w:val="32"/>
          <w:szCs w:val="32"/>
        </w:rPr>
        <w:t>5G示范场景得到应用，且在垂直行业的示范引领作用初步显现。</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2" w:name="_Toc16813"/>
      <w:r>
        <w:rPr>
          <w:rFonts w:hint="eastAsia" w:ascii="Times New Roman" w:hAnsi="Times New Roman" w:eastAsia="仿宋"/>
          <w:b/>
          <w:bCs/>
          <w:color w:val="auto"/>
          <w:sz w:val="32"/>
          <w:szCs w:val="32"/>
        </w:rPr>
        <w:t>（二）发展环境</w:t>
      </w:r>
      <w:bookmarkEnd w:id="2"/>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1.经济转型需要新业态。</w:t>
      </w:r>
      <w:r>
        <w:rPr>
          <w:rFonts w:hint="eastAsia" w:ascii="Times New Roman" w:hAnsi="Times New Roman" w:eastAsia="仿宋"/>
          <w:color w:val="auto"/>
          <w:sz w:val="32"/>
          <w:szCs w:val="32"/>
        </w:rPr>
        <w:t>近年来，我县坚持转型为纲不动摇，加速</w:t>
      </w:r>
      <w:r>
        <w:rPr>
          <w:rFonts w:hint="eastAsia" w:ascii="Times New Roman" w:hAnsi="Times New Roman" w:eastAsia="仿宋"/>
          <w:color w:val="auto"/>
          <w:sz w:val="32"/>
          <w:szCs w:val="32"/>
          <w:lang w:val="en-US" w:eastAsia="zh-CN"/>
        </w:rPr>
        <w:t>破解</w:t>
      </w:r>
      <w:r>
        <w:rPr>
          <w:rFonts w:hint="eastAsia" w:ascii="Times New Roman" w:hAnsi="Times New Roman" w:eastAsia="仿宋"/>
          <w:color w:val="auto"/>
          <w:sz w:val="32"/>
          <w:szCs w:val="32"/>
        </w:rPr>
        <w:t>“一煤独大”产业</w:t>
      </w:r>
      <w:r>
        <w:rPr>
          <w:rFonts w:hint="eastAsia" w:ascii="Times New Roman" w:hAnsi="Times New Roman" w:eastAsia="仿宋"/>
          <w:color w:val="auto"/>
          <w:sz w:val="32"/>
          <w:szCs w:val="32"/>
          <w:lang w:val="en-US" w:eastAsia="zh-CN"/>
        </w:rPr>
        <w:t>结构</w:t>
      </w:r>
      <w:r>
        <w:rPr>
          <w:rFonts w:hint="eastAsia" w:ascii="Times New Roman" w:hAnsi="Times New Roman" w:eastAsia="仿宋"/>
          <w:color w:val="auto"/>
          <w:sz w:val="32"/>
          <w:szCs w:val="32"/>
        </w:rPr>
        <w:t>，形成了煤炭、煤层气、电力、化工、陶瓷、旅游、特色农业协同发展的产业</w:t>
      </w:r>
      <w:r>
        <w:rPr>
          <w:rFonts w:hint="eastAsia" w:ascii="Times New Roman" w:hAnsi="Times New Roman" w:eastAsia="仿宋"/>
          <w:color w:val="auto"/>
          <w:sz w:val="32"/>
          <w:szCs w:val="32"/>
          <w:lang w:val="en-US" w:eastAsia="zh-CN"/>
        </w:rPr>
        <w:t>格局</w:t>
      </w:r>
      <w:r>
        <w:rPr>
          <w:rFonts w:hint="eastAsia" w:ascii="Times New Roman" w:hAnsi="Times New Roman" w:eastAsia="仿宋"/>
          <w:color w:val="auto"/>
          <w:sz w:val="32"/>
          <w:szCs w:val="32"/>
        </w:rPr>
        <w:t>。三次产业比重从2010年的</w:t>
      </w:r>
      <w:r>
        <w:rPr>
          <w:rFonts w:ascii="Times New Roman" w:hAnsi="Times New Roman" w:eastAsia="仿宋"/>
          <w:color w:val="auto"/>
          <w:sz w:val="32"/>
          <w:szCs w:val="32"/>
        </w:rPr>
        <w:t>4.29</w:t>
      </w:r>
      <w:r>
        <w:rPr>
          <w:rFonts w:hint="eastAsia" w:ascii="Times New Roman" w:hAnsi="Times New Roman" w:eastAsia="仿宋"/>
          <w:color w:val="auto"/>
          <w:sz w:val="32"/>
          <w:szCs w:val="32"/>
        </w:rPr>
        <w:t>：</w:t>
      </w:r>
      <w:r>
        <w:rPr>
          <w:rFonts w:ascii="Times New Roman" w:hAnsi="Times New Roman" w:eastAsia="仿宋"/>
          <w:color w:val="auto"/>
          <w:sz w:val="32"/>
          <w:szCs w:val="32"/>
        </w:rPr>
        <w:t>67.33</w:t>
      </w:r>
      <w:r>
        <w:rPr>
          <w:rFonts w:hint="eastAsia" w:ascii="Times New Roman" w:hAnsi="Times New Roman" w:eastAsia="仿宋"/>
          <w:color w:val="auto"/>
          <w:sz w:val="32"/>
          <w:szCs w:val="32"/>
        </w:rPr>
        <w:t>：</w:t>
      </w:r>
      <w:r>
        <w:rPr>
          <w:rFonts w:ascii="Times New Roman" w:hAnsi="Times New Roman" w:eastAsia="仿宋"/>
          <w:color w:val="auto"/>
          <w:sz w:val="32"/>
          <w:szCs w:val="32"/>
        </w:rPr>
        <w:t>28.38</w:t>
      </w:r>
      <w:r>
        <w:rPr>
          <w:rFonts w:hint="eastAsia" w:ascii="Times New Roman" w:hAnsi="Times New Roman" w:eastAsia="仿宋"/>
          <w:color w:val="auto"/>
          <w:sz w:val="32"/>
          <w:szCs w:val="32"/>
        </w:rPr>
        <w:t>调整为20</w:t>
      </w:r>
      <w:r>
        <w:rPr>
          <w:rFonts w:ascii="Times New Roman" w:hAnsi="Times New Roman" w:eastAsia="仿宋"/>
          <w:color w:val="auto"/>
          <w:sz w:val="32"/>
          <w:szCs w:val="32"/>
        </w:rPr>
        <w:t>20</w:t>
      </w:r>
      <w:r>
        <w:rPr>
          <w:rFonts w:hint="eastAsia" w:ascii="Times New Roman" w:hAnsi="Times New Roman" w:eastAsia="仿宋"/>
          <w:color w:val="auto"/>
          <w:sz w:val="32"/>
          <w:szCs w:val="32"/>
        </w:rPr>
        <w:t>年的</w:t>
      </w:r>
      <w:r>
        <w:rPr>
          <w:rFonts w:ascii="Times New Roman" w:hAnsi="Times New Roman" w:eastAsia="仿宋"/>
          <w:color w:val="auto"/>
          <w:sz w:val="32"/>
          <w:szCs w:val="32"/>
        </w:rPr>
        <w:t>4.29</w:t>
      </w:r>
      <w:r>
        <w:rPr>
          <w:rFonts w:hint="eastAsia" w:ascii="Times New Roman" w:hAnsi="Times New Roman" w:eastAsia="仿宋"/>
          <w:color w:val="auto"/>
          <w:sz w:val="32"/>
          <w:szCs w:val="32"/>
        </w:rPr>
        <w:t>：</w:t>
      </w:r>
      <w:r>
        <w:rPr>
          <w:rFonts w:ascii="Times New Roman" w:hAnsi="Times New Roman" w:eastAsia="仿宋"/>
          <w:color w:val="auto"/>
          <w:sz w:val="32"/>
          <w:szCs w:val="32"/>
        </w:rPr>
        <w:t>60.04</w:t>
      </w:r>
      <w:r>
        <w:rPr>
          <w:rFonts w:hint="eastAsia" w:ascii="Times New Roman" w:hAnsi="Times New Roman" w:eastAsia="仿宋"/>
          <w:color w:val="auto"/>
          <w:sz w:val="32"/>
          <w:szCs w:val="32"/>
        </w:rPr>
        <w:t>：</w:t>
      </w:r>
      <w:r>
        <w:rPr>
          <w:rFonts w:ascii="Times New Roman" w:hAnsi="Times New Roman" w:eastAsia="仿宋"/>
          <w:color w:val="auto"/>
          <w:sz w:val="32"/>
          <w:szCs w:val="32"/>
        </w:rPr>
        <w:t>35.68</w:t>
      </w:r>
      <w:r>
        <w:rPr>
          <w:rFonts w:hint="eastAsia" w:ascii="Times New Roman" w:hAnsi="Times New Roman" w:eastAsia="仿宋"/>
          <w:color w:val="auto"/>
          <w:sz w:val="32"/>
          <w:szCs w:val="32"/>
        </w:rPr>
        <w:t>。可见，产业转型升级仍有较大空间。2020年5月，习近平总书记视察山西期间，对我省提出“在新基建、新技术、新材料、新装备、新产品、新业态上不断取得突破”的重大要求，为产业发展进一步指明了前进方向。加快我县传统产业升级、新兴产业壮大、三次产业融合，都需要数字技术、信息技术支撑。因此，新业态新模式是促进我县经济转型和改革创新的重要突破口。</w:t>
      </w:r>
    </w:p>
    <w:p>
      <w:pPr>
        <w:rPr>
          <w:rFonts w:ascii="Times New Roman" w:hAnsi="Times New Roman" w:eastAsia="仿宋"/>
          <w:b/>
          <w:bCs/>
          <w:color w:val="auto"/>
          <w:sz w:val="32"/>
          <w:szCs w:val="32"/>
        </w:rPr>
      </w:pPr>
      <w:r>
        <w:rPr>
          <w:rFonts w:hint="eastAsia" w:ascii="Times New Roman" w:hAnsi="Times New Roman" w:eastAsia="仿宋"/>
          <w:b/>
          <w:bCs/>
          <w:color w:val="auto"/>
          <w:sz w:val="32"/>
          <w:szCs w:val="32"/>
        </w:rPr>
        <w:drawing>
          <wp:inline distT="0" distB="0" distL="0" distR="0">
            <wp:extent cx="5274310" cy="3076575"/>
            <wp:effectExtent l="0" t="0" r="254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ascii="Times New Roman" w:hAnsi="Times New Roman" w:eastAsia="仿宋"/>
          <w:b/>
          <w:bCs/>
          <w:color w:val="auto"/>
          <w:sz w:val="32"/>
          <w:szCs w:val="32"/>
        </w:rPr>
      </w:pPr>
      <w:r>
        <w:rPr>
          <w:rFonts w:hint="eastAsia" w:ascii="Times New Roman" w:hAnsi="Times New Roman" w:eastAsia="仿宋"/>
          <w:b/>
          <w:bCs/>
          <w:color w:val="auto"/>
          <w:sz w:val="32"/>
          <w:szCs w:val="32"/>
        </w:rPr>
        <w:t>图</w:t>
      </w:r>
      <w:r>
        <w:rPr>
          <w:rFonts w:ascii="Times New Roman" w:hAnsi="Times New Roman" w:eastAsia="仿宋"/>
          <w:b/>
          <w:bCs/>
          <w:color w:val="auto"/>
          <w:sz w:val="32"/>
          <w:szCs w:val="32"/>
        </w:rPr>
        <w:t xml:space="preserve">2  </w:t>
      </w:r>
      <w:r>
        <w:rPr>
          <w:rFonts w:hint="eastAsia" w:ascii="Times New Roman" w:hAnsi="Times New Roman" w:eastAsia="仿宋"/>
          <w:b/>
          <w:bCs/>
          <w:color w:val="auto"/>
          <w:sz w:val="32"/>
          <w:szCs w:val="32"/>
        </w:rPr>
        <w:t>“十三五”期间阳城县产业结构变化情况</w:t>
      </w:r>
    </w:p>
    <w:p>
      <w:pPr>
        <w:rPr>
          <w:rFonts w:ascii="Times New Roman" w:hAnsi="Times New Roman" w:eastAsia="仿宋"/>
          <w:b/>
          <w:bCs/>
          <w:color w:val="auto"/>
          <w:sz w:val="32"/>
          <w:szCs w:val="32"/>
        </w:rPr>
      </w:pPr>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2.数字技术催生</w:t>
      </w:r>
      <w:r>
        <w:rPr>
          <w:rFonts w:ascii="Times New Roman" w:hAnsi="Times New Roman" w:eastAsia="仿宋"/>
          <w:b/>
          <w:bCs/>
          <w:color w:val="auto"/>
          <w:sz w:val="32"/>
          <w:szCs w:val="32"/>
        </w:rPr>
        <w:t>新业态</w:t>
      </w:r>
      <w:r>
        <w:rPr>
          <w:rFonts w:hint="eastAsia" w:ascii="Times New Roman" w:hAnsi="Times New Roman" w:eastAsia="仿宋"/>
          <w:color w:val="auto"/>
          <w:sz w:val="32"/>
          <w:szCs w:val="32"/>
        </w:rPr>
        <w:t>。目前，互联网、云计算、大数据、人工智能、物联网、区块链等数字技术、信息技术快速发展，并融入各行业全产业链条，加速推进资源整合与重构，全面提升智能制造水平和</w:t>
      </w:r>
      <w:r>
        <w:rPr>
          <w:rFonts w:ascii="Times New Roman" w:hAnsi="Times New Roman" w:eastAsia="仿宋"/>
          <w:color w:val="auto"/>
          <w:sz w:val="32"/>
          <w:szCs w:val="32"/>
        </w:rPr>
        <w:t>全要素生产率</w:t>
      </w:r>
      <w:r>
        <w:rPr>
          <w:rFonts w:hint="eastAsia" w:ascii="Times New Roman" w:hAnsi="Times New Roman" w:eastAsia="仿宋"/>
          <w:color w:val="auto"/>
          <w:sz w:val="32"/>
          <w:szCs w:val="32"/>
        </w:rPr>
        <w:t>，对产业组织模式、服务模式和商业模式</w:t>
      </w:r>
      <w:r>
        <w:rPr>
          <w:rFonts w:ascii="Times New Roman" w:hAnsi="Times New Roman" w:eastAsia="仿宋"/>
          <w:color w:val="auto"/>
          <w:sz w:val="32"/>
          <w:szCs w:val="32"/>
        </w:rPr>
        <w:t>都产生</w:t>
      </w:r>
      <w:r>
        <w:rPr>
          <w:rFonts w:hint="eastAsia" w:ascii="Times New Roman" w:hAnsi="Times New Roman" w:eastAsia="仿宋"/>
          <w:color w:val="auto"/>
          <w:sz w:val="32"/>
          <w:szCs w:val="32"/>
        </w:rPr>
        <w:t>了</w:t>
      </w:r>
      <w:r>
        <w:rPr>
          <w:rFonts w:ascii="Times New Roman" w:hAnsi="Times New Roman" w:eastAsia="仿宋"/>
          <w:color w:val="auto"/>
          <w:sz w:val="32"/>
          <w:szCs w:val="32"/>
        </w:rPr>
        <w:t>较大影响</w:t>
      </w:r>
      <w:r>
        <w:rPr>
          <w:rFonts w:hint="eastAsia" w:ascii="Times New Roman" w:hAnsi="Times New Roman" w:eastAsia="仿宋"/>
          <w:color w:val="auto"/>
          <w:sz w:val="32"/>
          <w:szCs w:val="32"/>
        </w:rPr>
        <w:t>。数字技术为各行业发展构建起全新的发展和运行模式，促进传统产业向数字化、智能化转型升级，催生更多新业态、新模式。</w:t>
      </w:r>
    </w:p>
    <w:p>
      <w:pPr>
        <w:ind w:firstLine="643" w:firstLineChars="200"/>
        <w:rPr>
          <w:rStyle w:val="21"/>
          <w:rFonts w:ascii="Times New Roman" w:hAnsi="Times New Roman" w:eastAsia="仿宋" w:cs="Arial"/>
          <w:i w:val="0"/>
          <w:iCs w:val="0"/>
          <w:color w:val="auto"/>
          <w:sz w:val="20"/>
          <w:szCs w:val="20"/>
          <w:shd w:val="clear" w:color="auto" w:fill="FFFFFF"/>
        </w:rPr>
      </w:pPr>
      <w:r>
        <w:rPr>
          <w:rFonts w:hint="eastAsia" w:ascii="Times New Roman" w:hAnsi="Times New Roman" w:eastAsia="仿宋"/>
          <w:b/>
          <w:bCs/>
          <w:color w:val="auto"/>
          <w:sz w:val="32"/>
          <w:szCs w:val="32"/>
        </w:rPr>
        <w:t>3.消费升级激发新业态。</w:t>
      </w:r>
      <w:r>
        <w:rPr>
          <w:rFonts w:hint="eastAsia" w:ascii="Times New Roman" w:hAnsi="Times New Roman" w:eastAsia="仿宋"/>
          <w:color w:val="auto"/>
          <w:sz w:val="32"/>
          <w:szCs w:val="32"/>
        </w:rPr>
        <w:t>当前我国已经进入消费结构加快升级、消费拉动经济作用明显增强的新阶段，特别是新冠肺炎疫情发生以来，传统接触式线下消费受到影响，</w:t>
      </w:r>
      <w:r>
        <w:rPr>
          <w:rFonts w:ascii="Times New Roman" w:hAnsi="Times New Roman" w:eastAsia="仿宋"/>
          <w:color w:val="auto"/>
          <w:sz w:val="32"/>
          <w:szCs w:val="32"/>
        </w:rPr>
        <w:t>服务消费向提质增效升级</w:t>
      </w:r>
      <w:r>
        <w:rPr>
          <w:rFonts w:hint="eastAsia" w:ascii="Times New Roman" w:hAnsi="Times New Roman" w:eastAsia="仿宋"/>
          <w:color w:val="auto"/>
          <w:sz w:val="32"/>
          <w:szCs w:val="32"/>
        </w:rPr>
        <w:t>，</w:t>
      </w:r>
      <w:r>
        <w:rPr>
          <w:rFonts w:ascii="Times New Roman" w:hAnsi="Times New Roman" w:eastAsia="仿宋"/>
          <w:color w:val="auto"/>
          <w:sz w:val="32"/>
          <w:szCs w:val="32"/>
        </w:rPr>
        <w:t>线下消费向线上线下结合升级</w:t>
      </w:r>
      <w:r>
        <w:rPr>
          <w:rFonts w:hint="eastAsia" w:ascii="Times New Roman" w:hAnsi="Times New Roman" w:eastAsia="仿宋"/>
          <w:color w:val="auto"/>
          <w:sz w:val="32"/>
          <w:szCs w:val="32"/>
        </w:rPr>
        <w:t>，</w:t>
      </w:r>
      <w:r>
        <w:rPr>
          <w:rFonts w:ascii="Times New Roman" w:hAnsi="Times New Roman" w:eastAsia="仿宋"/>
          <w:color w:val="auto"/>
          <w:sz w:val="32"/>
          <w:szCs w:val="32"/>
        </w:rPr>
        <w:t>购物经济向体验经济转变</w:t>
      </w:r>
      <w:r>
        <w:rPr>
          <w:rFonts w:hint="eastAsia" w:ascii="Times New Roman" w:hAnsi="Times New Roman" w:eastAsia="仿宋"/>
          <w:color w:val="auto"/>
          <w:sz w:val="32"/>
          <w:szCs w:val="32"/>
        </w:rPr>
        <w:t>，</w:t>
      </w:r>
      <w:r>
        <w:rPr>
          <w:rFonts w:ascii="Times New Roman" w:hAnsi="Times New Roman" w:eastAsia="仿宋"/>
          <w:color w:val="auto"/>
          <w:sz w:val="32"/>
          <w:szCs w:val="32"/>
        </w:rPr>
        <w:t>消费行为从标准化向个性化、多元化、定制化转变</w:t>
      </w:r>
      <w:r>
        <w:rPr>
          <w:rFonts w:hint="eastAsia" w:ascii="Times New Roman" w:hAnsi="Times New Roman" w:eastAsia="仿宋"/>
          <w:color w:val="auto"/>
          <w:sz w:val="32"/>
          <w:szCs w:val="32"/>
        </w:rPr>
        <w:t>。企业只有将线上和线下渠道相融合，</w:t>
      </w:r>
      <w:r>
        <w:rPr>
          <w:rFonts w:ascii="Times New Roman" w:hAnsi="Times New Roman" w:eastAsia="仿宋"/>
          <w:color w:val="auto"/>
          <w:sz w:val="32"/>
          <w:szCs w:val="32"/>
        </w:rPr>
        <w:t>打造垂直商业模式</w:t>
      </w:r>
      <w:r>
        <w:rPr>
          <w:rFonts w:hint="eastAsia" w:ascii="Times New Roman" w:hAnsi="Times New Roman" w:eastAsia="仿宋"/>
          <w:color w:val="auto"/>
          <w:sz w:val="32"/>
          <w:szCs w:val="32"/>
        </w:rPr>
        <w:t>，才能迎合消费升级的大趋势</w:t>
      </w:r>
      <w:r>
        <w:rPr>
          <w:rFonts w:ascii="Times New Roman" w:hAnsi="Times New Roman" w:eastAsia="仿宋"/>
          <w:color w:val="auto"/>
          <w:sz w:val="32"/>
          <w:szCs w:val="32"/>
        </w:rPr>
        <w:t>。</w:t>
      </w:r>
      <w:r>
        <w:rPr>
          <w:rFonts w:hint="eastAsia" w:ascii="Times New Roman" w:hAnsi="Times New Roman" w:eastAsia="仿宋"/>
          <w:color w:val="auto"/>
          <w:sz w:val="32"/>
          <w:szCs w:val="32"/>
        </w:rPr>
        <w:t>可见，</w:t>
      </w:r>
      <w:r>
        <w:rPr>
          <w:rFonts w:ascii="Times New Roman" w:hAnsi="Times New Roman" w:eastAsia="仿宋"/>
          <w:color w:val="auto"/>
          <w:sz w:val="32"/>
          <w:szCs w:val="32"/>
        </w:rPr>
        <w:t>消费升级促进着互联网和各类消费业态深度融合</w:t>
      </w:r>
      <w:r>
        <w:rPr>
          <w:rFonts w:hint="eastAsia" w:ascii="Times New Roman" w:hAnsi="Times New Roman" w:eastAsia="仿宋"/>
          <w:color w:val="auto"/>
          <w:sz w:val="32"/>
          <w:szCs w:val="32"/>
        </w:rPr>
        <w:t>，</w:t>
      </w:r>
      <w:r>
        <w:rPr>
          <w:rFonts w:ascii="Times New Roman" w:hAnsi="Times New Roman" w:eastAsia="仿宋"/>
          <w:color w:val="auto"/>
          <w:sz w:val="32"/>
          <w:szCs w:val="32"/>
        </w:rPr>
        <w:t>消费新业态将不断</w:t>
      </w:r>
      <w:r>
        <w:rPr>
          <w:rFonts w:hint="eastAsia" w:ascii="Times New Roman" w:hAnsi="Times New Roman" w:eastAsia="仿宋"/>
          <w:color w:val="auto"/>
          <w:sz w:val="32"/>
          <w:szCs w:val="32"/>
        </w:rPr>
        <w:t>涌现。</w:t>
      </w:r>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4.扩大就业依靠新业态。</w:t>
      </w:r>
      <w:r>
        <w:rPr>
          <w:rFonts w:hint="eastAsia" w:ascii="Times New Roman" w:hAnsi="Times New Roman" w:eastAsia="仿宋"/>
          <w:color w:val="auto"/>
          <w:sz w:val="32"/>
          <w:szCs w:val="32"/>
        </w:rPr>
        <w:t>随着智能开采、智能制造的深入实施，人工智能对就业的替代效应有所显现，我县城镇登记失业率从2017年的0.79%上升到20</w:t>
      </w:r>
      <w:r>
        <w:rPr>
          <w:rFonts w:ascii="Times New Roman" w:hAnsi="Times New Roman" w:eastAsia="仿宋"/>
          <w:color w:val="auto"/>
          <w:sz w:val="32"/>
          <w:szCs w:val="32"/>
        </w:rPr>
        <w:t>20</w:t>
      </w:r>
      <w:r>
        <w:rPr>
          <w:rFonts w:hint="eastAsia" w:ascii="Times New Roman" w:hAnsi="Times New Roman" w:eastAsia="仿宋"/>
          <w:color w:val="auto"/>
          <w:sz w:val="32"/>
          <w:szCs w:val="32"/>
        </w:rPr>
        <w:t>年的</w:t>
      </w:r>
      <w:r>
        <w:rPr>
          <w:rFonts w:ascii="Times New Roman" w:hAnsi="Times New Roman" w:eastAsia="仿宋"/>
          <w:color w:val="auto"/>
          <w:sz w:val="32"/>
          <w:szCs w:val="32"/>
        </w:rPr>
        <w:t>2.51</w:t>
      </w:r>
      <w:r>
        <w:rPr>
          <w:rFonts w:hint="eastAsia" w:ascii="Times New Roman" w:hAnsi="Times New Roman" w:eastAsia="仿宋"/>
          <w:color w:val="auto"/>
          <w:sz w:val="32"/>
          <w:szCs w:val="32"/>
        </w:rPr>
        <w:t>%。</w:t>
      </w:r>
      <w:r>
        <w:rPr>
          <w:rFonts w:ascii="Times New Roman" w:hAnsi="Times New Roman" w:eastAsia="仿宋"/>
          <w:color w:val="auto"/>
          <w:sz w:val="32"/>
          <w:szCs w:val="32"/>
        </w:rPr>
        <w:t>互联网时代</w:t>
      </w:r>
      <w:r>
        <w:rPr>
          <w:rFonts w:hint="eastAsia" w:ascii="Times New Roman" w:hAnsi="Times New Roman" w:eastAsia="仿宋"/>
          <w:color w:val="auto"/>
          <w:sz w:val="32"/>
          <w:szCs w:val="32"/>
        </w:rPr>
        <w:t>，</w:t>
      </w:r>
      <w:r>
        <w:rPr>
          <w:rFonts w:ascii="Times New Roman" w:hAnsi="Times New Roman" w:eastAsia="仿宋"/>
          <w:color w:val="auto"/>
          <w:sz w:val="32"/>
          <w:szCs w:val="32"/>
        </w:rPr>
        <w:t>平台经济</w:t>
      </w:r>
      <w:r>
        <w:rPr>
          <w:rFonts w:hint="eastAsia" w:ascii="Times New Roman" w:hAnsi="Times New Roman" w:eastAsia="仿宋"/>
          <w:color w:val="auto"/>
          <w:sz w:val="32"/>
          <w:szCs w:val="32"/>
        </w:rPr>
        <w:t>、</w:t>
      </w:r>
      <w:r>
        <w:rPr>
          <w:rFonts w:ascii="Times New Roman" w:hAnsi="Times New Roman" w:eastAsia="仿宋"/>
          <w:color w:val="auto"/>
          <w:sz w:val="32"/>
          <w:szCs w:val="32"/>
        </w:rPr>
        <w:t>共享经济等新业态催生了大量新增就业机会</w:t>
      </w:r>
      <w:r>
        <w:rPr>
          <w:rFonts w:hint="eastAsia" w:ascii="Times New Roman" w:hAnsi="Times New Roman" w:eastAsia="仿宋"/>
          <w:color w:val="auto"/>
          <w:sz w:val="32"/>
          <w:szCs w:val="32"/>
        </w:rPr>
        <w:t>，灵活就业、共享用工成为新风口。因此，加快培育壮大新业态，推动劳动力由加工制造业向生产服务业转移，才能</w:t>
      </w:r>
      <w:r>
        <w:rPr>
          <w:rFonts w:ascii="Times New Roman" w:hAnsi="Times New Roman" w:eastAsia="仿宋"/>
          <w:color w:val="auto"/>
          <w:sz w:val="32"/>
          <w:szCs w:val="32"/>
        </w:rPr>
        <w:t>实现产业转型与就业提升协同发展</w:t>
      </w:r>
      <w:r>
        <w:rPr>
          <w:rFonts w:hint="eastAsia" w:ascii="Times New Roman" w:hAnsi="Times New Roman" w:eastAsia="仿宋"/>
          <w:color w:val="auto"/>
          <w:sz w:val="32"/>
          <w:szCs w:val="32"/>
        </w:rPr>
        <w:t>。</w:t>
      </w:r>
    </w:p>
    <w:p>
      <w:pPr>
        <w:rPr>
          <w:rFonts w:ascii="Times New Roman" w:hAnsi="Times New Roman" w:eastAsia="仿宋"/>
          <w:color w:val="auto"/>
          <w:sz w:val="32"/>
          <w:szCs w:val="32"/>
        </w:rPr>
      </w:pPr>
      <w:r>
        <w:rPr>
          <w:rFonts w:hint="eastAsia" w:ascii="Times New Roman" w:hAnsi="Times New Roman" w:eastAsia="仿宋"/>
          <w:color w:val="auto"/>
          <w:sz w:val="32"/>
          <w:szCs w:val="32"/>
        </w:rPr>
        <w:drawing>
          <wp:inline distT="0" distB="0" distL="0" distR="0">
            <wp:extent cx="5274310" cy="3076575"/>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ascii="Times New Roman" w:hAnsi="Times New Roman" w:eastAsia="仿宋"/>
          <w:color w:val="auto"/>
          <w:sz w:val="32"/>
          <w:szCs w:val="32"/>
        </w:rPr>
      </w:pPr>
      <w:r>
        <w:rPr>
          <w:rFonts w:hint="eastAsia" w:ascii="Times New Roman" w:hAnsi="Times New Roman" w:eastAsia="仿宋"/>
          <w:b/>
          <w:bCs/>
          <w:color w:val="auto"/>
          <w:sz w:val="32"/>
          <w:szCs w:val="32"/>
        </w:rPr>
        <w:t>图</w:t>
      </w:r>
      <w:r>
        <w:rPr>
          <w:rFonts w:ascii="Times New Roman" w:hAnsi="Times New Roman" w:eastAsia="仿宋"/>
          <w:b/>
          <w:bCs/>
          <w:color w:val="auto"/>
          <w:sz w:val="32"/>
          <w:szCs w:val="32"/>
        </w:rPr>
        <w:t xml:space="preserve">3  </w:t>
      </w:r>
      <w:r>
        <w:rPr>
          <w:rFonts w:hint="eastAsia" w:ascii="Times New Roman" w:hAnsi="Times New Roman" w:eastAsia="仿宋"/>
          <w:b/>
          <w:bCs/>
          <w:color w:val="auto"/>
          <w:sz w:val="32"/>
          <w:szCs w:val="32"/>
        </w:rPr>
        <w:t>“十三五”期间阳城县城镇登记失业率变化情况</w:t>
      </w:r>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5.政策举措支持新业态。</w:t>
      </w:r>
      <w:r>
        <w:rPr>
          <w:rFonts w:hint="eastAsia" w:ascii="Times New Roman" w:hAnsi="Times New Roman" w:eastAsia="仿宋"/>
          <w:color w:val="auto"/>
          <w:sz w:val="32"/>
          <w:szCs w:val="32"/>
        </w:rPr>
        <w:t>近年来，党中央、国务院高度重视数字经济发展，先后出台实施“互联网</w:t>
      </w:r>
      <w:r>
        <w:rPr>
          <w:rFonts w:ascii="Times New Roman" w:hAnsi="Times New Roman" w:eastAsia="仿宋"/>
          <w:color w:val="auto"/>
          <w:sz w:val="32"/>
          <w:szCs w:val="32"/>
        </w:rPr>
        <w:t>+</w:t>
      </w:r>
      <w:r>
        <w:rPr>
          <w:rFonts w:hint="eastAsia" w:ascii="Times New Roman" w:hAnsi="Times New Roman" w:eastAsia="仿宋"/>
          <w:color w:val="auto"/>
          <w:sz w:val="32"/>
          <w:szCs w:val="32"/>
        </w:rPr>
        <w:t>”</w:t>
      </w:r>
      <w:r>
        <w:rPr>
          <w:rFonts w:ascii="Times New Roman" w:hAnsi="Times New Roman" w:eastAsia="仿宋"/>
          <w:color w:val="auto"/>
          <w:sz w:val="32"/>
          <w:szCs w:val="32"/>
        </w:rPr>
        <w:t>行动和大数据战略等一系列重大举措</w:t>
      </w:r>
      <w:r>
        <w:rPr>
          <w:rFonts w:hint="eastAsia" w:ascii="Times New Roman" w:hAnsi="Times New Roman" w:eastAsia="仿宋"/>
          <w:color w:val="auto"/>
          <w:sz w:val="32"/>
          <w:szCs w:val="32"/>
        </w:rPr>
        <w:t>，促进“互联网+”新业态、新经济发展。2020年7月，</w:t>
      </w:r>
      <w:r>
        <w:rPr>
          <w:rFonts w:ascii="Times New Roman" w:hAnsi="Times New Roman" w:eastAsia="仿宋"/>
          <w:color w:val="auto"/>
          <w:sz w:val="32"/>
          <w:szCs w:val="32"/>
        </w:rPr>
        <w:t>国家发改委等13个部门联合发布《关于支持新业态新模式健康发展激活消费市场带动扩大就业的意见》</w:t>
      </w:r>
      <w:r>
        <w:rPr>
          <w:rFonts w:hint="eastAsia" w:ascii="Times New Roman" w:hAnsi="Times New Roman" w:eastAsia="仿宋"/>
          <w:color w:val="auto"/>
          <w:sz w:val="32"/>
          <w:szCs w:val="32"/>
        </w:rPr>
        <w:t>，</w:t>
      </w:r>
      <w:r>
        <w:rPr>
          <w:rFonts w:ascii="Times New Roman" w:hAnsi="Times New Roman" w:eastAsia="仿宋"/>
          <w:color w:val="auto"/>
          <w:sz w:val="32"/>
          <w:szCs w:val="32"/>
        </w:rPr>
        <w:t>15个新业态、新模式得到国家承认和许可</w:t>
      </w:r>
      <w:r>
        <w:rPr>
          <w:rFonts w:hint="eastAsia" w:ascii="Times New Roman" w:hAnsi="Times New Roman" w:eastAsia="仿宋"/>
          <w:color w:val="auto"/>
          <w:sz w:val="32"/>
          <w:szCs w:val="32"/>
        </w:rPr>
        <w:t>，新业态、新模式将迎来快速发展的新机遇。</w:t>
      </w:r>
    </w:p>
    <w:p>
      <w:pPr>
        <w:pStyle w:val="2"/>
        <w:spacing w:before="0" w:after="0" w:line="360" w:lineRule="auto"/>
        <w:ind w:firstLine="600" w:firstLineChars="200"/>
        <w:rPr>
          <w:rFonts w:hint="default" w:ascii="黑体" w:hAnsi="黑体" w:eastAsia="黑体"/>
          <w:b w:val="0"/>
          <w:bCs w:val="0"/>
          <w:color w:val="auto"/>
          <w:sz w:val="30"/>
          <w:szCs w:val="30"/>
          <w:lang w:val="en-US" w:eastAsia="zh-CN"/>
        </w:rPr>
      </w:pPr>
      <w:bookmarkStart w:id="3" w:name="_Toc8043"/>
      <w:r>
        <w:rPr>
          <w:rFonts w:hint="eastAsia" w:ascii="黑体" w:hAnsi="黑体" w:eastAsia="黑体"/>
          <w:b w:val="0"/>
          <w:bCs w:val="0"/>
          <w:color w:val="auto"/>
          <w:sz w:val="30"/>
          <w:szCs w:val="30"/>
        </w:rPr>
        <w:t>二、总体思路</w:t>
      </w:r>
      <w:r>
        <w:rPr>
          <w:rFonts w:hint="eastAsia" w:ascii="黑体" w:hAnsi="黑体" w:eastAsia="黑体"/>
          <w:b w:val="0"/>
          <w:bCs w:val="0"/>
          <w:color w:val="auto"/>
          <w:sz w:val="30"/>
          <w:szCs w:val="30"/>
          <w:lang w:val="en-US" w:eastAsia="zh-CN"/>
        </w:rPr>
        <w:t>和要求</w:t>
      </w:r>
      <w:bookmarkEnd w:id="3"/>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4" w:name="_Toc28657"/>
      <w:r>
        <w:rPr>
          <w:rFonts w:hint="eastAsia" w:ascii="Times New Roman" w:hAnsi="Times New Roman" w:eastAsia="仿宋"/>
          <w:b/>
          <w:bCs/>
          <w:color w:val="auto"/>
          <w:sz w:val="32"/>
          <w:szCs w:val="32"/>
        </w:rPr>
        <w:t>（一）指导思想</w:t>
      </w:r>
      <w:bookmarkEnd w:id="4"/>
    </w:p>
    <w:p>
      <w:pPr>
        <w:ind w:firstLine="640" w:firstLineChars="200"/>
        <w:rPr>
          <w:rFonts w:ascii="Times New Roman" w:hAnsi="Times New Roman" w:eastAsia="仿宋"/>
          <w:color w:val="auto"/>
        </w:rPr>
      </w:pPr>
      <w:r>
        <w:rPr>
          <w:rFonts w:hint="eastAsia" w:ascii="Times New Roman" w:hAnsi="Times New Roman" w:eastAsia="仿宋"/>
          <w:color w:val="auto"/>
          <w:sz w:val="32"/>
          <w:szCs w:val="32"/>
        </w:rPr>
        <w:t>以习近平新时代中国特色社会主义思想为指导，深入贯彻党的十九大和十九届二中、三中、四中、五中全会精神，围绕经济高质量转型跨越发展总体目标，</w:t>
      </w:r>
      <w:r>
        <w:rPr>
          <w:rFonts w:hint="eastAsia" w:ascii="Times New Roman" w:hAnsi="Times New Roman" w:eastAsia="仿宋"/>
          <w:color w:val="auto"/>
          <w:sz w:val="32"/>
          <w:szCs w:val="32"/>
        </w:rPr>
        <w:t>贯彻创新驱动发展战略</w:t>
      </w:r>
      <w:r>
        <w:rPr>
          <w:rFonts w:hint="eastAsia" w:ascii="Times New Roman" w:hAnsi="Times New Roman" w:eastAsia="仿宋"/>
          <w:color w:val="auto"/>
          <w:sz w:val="32"/>
          <w:szCs w:val="32"/>
        </w:rPr>
        <w:t>，顺应数字经济发展趋势，准确把握数字化、智能化、绿色化、融合化发展契机，将培育新业态、新模式作为促进经济转型和改革创新的重要发力点，大力拓展数字技术、信息技术和实体经济融合的广度和深度，全力构建全产业链格局，加快推进传统产业转型升级、新兴产业集群壮大，</w:t>
      </w:r>
      <w:r>
        <w:rPr>
          <w:rFonts w:ascii="Times New Roman" w:hAnsi="Times New Roman" w:eastAsia="仿宋"/>
          <w:color w:val="auto"/>
          <w:sz w:val="32"/>
          <w:szCs w:val="32"/>
        </w:rPr>
        <w:t>充分释放</w:t>
      </w:r>
      <w:r>
        <w:rPr>
          <w:rFonts w:hint="eastAsia" w:ascii="Times New Roman" w:hAnsi="Times New Roman" w:eastAsia="仿宋"/>
          <w:color w:val="auto"/>
          <w:sz w:val="32"/>
          <w:szCs w:val="32"/>
          <w:lang w:val="en-US" w:eastAsia="zh-CN"/>
        </w:rPr>
        <w:t>数据产业</w:t>
      </w:r>
      <w:r>
        <w:rPr>
          <w:rFonts w:ascii="Times New Roman" w:hAnsi="Times New Roman" w:eastAsia="仿宋"/>
          <w:color w:val="auto"/>
          <w:sz w:val="32"/>
          <w:szCs w:val="32"/>
        </w:rPr>
        <w:t>对经济发展的放大、叠加、倍增效应</w:t>
      </w:r>
      <w:r>
        <w:rPr>
          <w:rFonts w:hint="eastAsia" w:ascii="Times New Roman" w:hAnsi="Times New Roman" w:eastAsia="仿宋"/>
          <w:color w:val="auto"/>
          <w:sz w:val="32"/>
          <w:szCs w:val="32"/>
        </w:rPr>
        <w:t>，</w:t>
      </w:r>
      <w:r>
        <w:rPr>
          <w:rFonts w:ascii="Times New Roman" w:hAnsi="Times New Roman" w:eastAsia="仿宋"/>
          <w:color w:val="auto"/>
          <w:sz w:val="32"/>
          <w:szCs w:val="32"/>
        </w:rPr>
        <w:t>努力开创</w:t>
      </w:r>
      <w:r>
        <w:rPr>
          <w:rFonts w:hint="eastAsia" w:ascii="Times New Roman" w:hAnsi="Times New Roman" w:eastAsia="仿宋"/>
          <w:color w:val="auto"/>
          <w:sz w:val="32"/>
          <w:szCs w:val="32"/>
        </w:rPr>
        <w:t>高质量跨越式发展新局面。</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5" w:name="_Toc14669"/>
      <w:r>
        <w:rPr>
          <w:rFonts w:hint="eastAsia" w:ascii="Times New Roman" w:hAnsi="Times New Roman" w:eastAsia="仿宋"/>
          <w:b/>
          <w:bCs/>
          <w:color w:val="auto"/>
          <w:sz w:val="32"/>
          <w:szCs w:val="32"/>
        </w:rPr>
        <w:t>（二）基本原则</w:t>
      </w:r>
      <w:bookmarkEnd w:id="5"/>
    </w:p>
    <w:p>
      <w:pPr>
        <w:ind w:firstLine="643" w:firstLineChars="200"/>
        <w:rPr>
          <w:rFonts w:ascii="Times New Roman" w:hAnsi="Times New Roman" w:eastAsia="仿宋"/>
          <w:color w:val="auto"/>
          <w:sz w:val="28"/>
          <w:szCs w:val="28"/>
        </w:rPr>
      </w:pPr>
      <w:r>
        <w:rPr>
          <w:rFonts w:hint="eastAsia" w:ascii="Times New Roman" w:hAnsi="Times New Roman" w:eastAsia="仿宋"/>
          <w:b/>
          <w:bCs/>
          <w:color w:val="auto"/>
          <w:sz w:val="32"/>
          <w:szCs w:val="32"/>
        </w:rPr>
        <w:t>坚持市场主导、政府引导。</w:t>
      </w:r>
      <w:r>
        <w:rPr>
          <w:rFonts w:ascii="Times New Roman" w:hAnsi="Times New Roman" w:eastAsia="仿宋"/>
          <w:color w:val="auto"/>
          <w:sz w:val="32"/>
          <w:szCs w:val="32"/>
        </w:rPr>
        <w:t>充分发挥市场在资源配置中的决定性作用，</w:t>
      </w:r>
      <w:r>
        <w:rPr>
          <w:rFonts w:hint="eastAsia" w:ascii="Times New Roman" w:hAnsi="Times New Roman" w:eastAsia="仿宋"/>
          <w:color w:val="auto"/>
          <w:sz w:val="32"/>
          <w:szCs w:val="32"/>
        </w:rPr>
        <w:t>强化企业市场主体地位，激发企业的内生动力和创新活力。发挥政府在规划布局、政策引导等方面的积极作用，形成公平市场竞争的发展环境。</w:t>
      </w:r>
    </w:p>
    <w:p>
      <w:pPr>
        <w:ind w:firstLine="643" w:firstLineChars="200"/>
        <w:rPr>
          <w:rFonts w:ascii="Times New Roman" w:hAnsi="Times New Roman" w:eastAsia="仿宋"/>
          <w:color w:val="auto"/>
          <w:sz w:val="32"/>
          <w:szCs w:val="32"/>
        </w:rPr>
      </w:pPr>
      <w:r>
        <w:rPr>
          <w:rFonts w:hint="eastAsia" w:ascii="Times New Roman" w:hAnsi="Times New Roman" w:eastAsia="仿宋"/>
          <w:b/>
          <w:bCs/>
          <w:color w:val="auto"/>
          <w:sz w:val="32"/>
          <w:szCs w:val="32"/>
        </w:rPr>
        <w:t>坚持创新驱动、融合发展。</w:t>
      </w:r>
      <w:r>
        <w:rPr>
          <w:rFonts w:ascii="Times New Roman" w:hAnsi="Times New Roman" w:eastAsia="仿宋"/>
          <w:color w:val="auto"/>
          <w:sz w:val="32"/>
          <w:szCs w:val="32"/>
        </w:rPr>
        <w:t>坚持创新驱动，增强发展新动能</w:t>
      </w:r>
      <w:r>
        <w:rPr>
          <w:rFonts w:hint="eastAsia" w:ascii="Times New Roman" w:hAnsi="Times New Roman" w:eastAsia="仿宋"/>
          <w:color w:val="auto"/>
          <w:sz w:val="32"/>
          <w:szCs w:val="32"/>
        </w:rPr>
        <w:t>，</w:t>
      </w:r>
      <w:r>
        <w:rPr>
          <w:rFonts w:ascii="Times New Roman" w:hAnsi="Times New Roman" w:eastAsia="仿宋"/>
          <w:color w:val="auto"/>
          <w:sz w:val="32"/>
          <w:szCs w:val="32"/>
        </w:rPr>
        <w:t>把新发展理念贯穿发展全过程和各领域，构建新发展格局，切实转变发展方式</w:t>
      </w:r>
      <w:r>
        <w:rPr>
          <w:rFonts w:hint="eastAsia" w:ascii="Times New Roman" w:hAnsi="Times New Roman" w:eastAsia="仿宋"/>
          <w:color w:val="auto"/>
          <w:sz w:val="32"/>
          <w:szCs w:val="32"/>
        </w:rPr>
        <w:t>，推动创新链与产业链有机结合。推动互联网、</w:t>
      </w:r>
      <w:r>
        <w:rPr>
          <w:color w:val="auto"/>
        </w:rPr>
        <w:fldChar w:fldCharType="begin"/>
      </w:r>
      <w:r>
        <w:rPr>
          <w:color w:val="auto"/>
        </w:rPr>
        <w:instrText xml:space="preserve"> HYPERLINK "http://www.elecfans.com/rengongzhineng/605233_a.html" \t "_blank" </w:instrText>
      </w:r>
      <w:r>
        <w:rPr>
          <w:color w:val="auto"/>
        </w:rPr>
        <w:fldChar w:fldCharType="separate"/>
      </w:r>
      <w:r>
        <w:rPr>
          <w:rFonts w:hint="eastAsia" w:ascii="Times New Roman" w:hAnsi="Times New Roman" w:eastAsia="仿宋"/>
          <w:color w:val="auto"/>
          <w:sz w:val="32"/>
          <w:szCs w:val="32"/>
        </w:rPr>
        <w:t>大数据</w:t>
      </w:r>
      <w:r>
        <w:rPr>
          <w:rFonts w:hint="eastAsia" w:ascii="Times New Roman" w:hAnsi="Times New Roman" w:eastAsia="仿宋"/>
          <w:color w:val="auto"/>
          <w:sz w:val="32"/>
          <w:szCs w:val="32"/>
        </w:rPr>
        <w:fldChar w:fldCharType="end"/>
      </w:r>
      <w:r>
        <w:rPr>
          <w:rFonts w:hint="eastAsia" w:ascii="Times New Roman" w:hAnsi="Times New Roman" w:eastAsia="仿宋"/>
          <w:color w:val="auto"/>
          <w:sz w:val="32"/>
          <w:szCs w:val="32"/>
        </w:rPr>
        <w:t>、人工智能和实体经济深度融合，提高全要素生产率，释放数字经济对传统经济的放大、叠加、倍增作用。</w:t>
      </w:r>
    </w:p>
    <w:p>
      <w:pPr>
        <w:pStyle w:val="14"/>
        <w:shd w:val="clear" w:color="auto" w:fill="FFFFFF"/>
        <w:spacing w:before="0" w:beforeAutospacing="0" w:after="0" w:afterAutospacing="0" w:line="360" w:lineRule="auto"/>
        <w:ind w:firstLine="643" w:firstLineChars="200"/>
        <w:jc w:val="both"/>
        <w:rPr>
          <w:rFonts w:ascii="Times New Roman" w:hAnsi="Times New Roman" w:eastAsia="仿宋"/>
          <w:color w:val="auto"/>
          <w:sz w:val="28"/>
          <w:szCs w:val="28"/>
        </w:rPr>
      </w:pPr>
      <w:r>
        <w:rPr>
          <w:rFonts w:hint="eastAsia" w:ascii="Times New Roman" w:hAnsi="Times New Roman" w:eastAsia="仿宋" w:cstheme="minorBidi"/>
          <w:b/>
          <w:bCs/>
          <w:color w:val="auto"/>
          <w:kern w:val="2"/>
          <w:sz w:val="32"/>
          <w:szCs w:val="32"/>
        </w:rPr>
        <w:t>坚持平台聚力、集群带动。</w:t>
      </w:r>
      <w:r>
        <w:rPr>
          <w:rFonts w:hint="eastAsia" w:ascii="Times New Roman" w:hAnsi="Times New Roman" w:eastAsia="仿宋" w:cstheme="minorBidi"/>
          <w:color w:val="auto"/>
          <w:kern w:val="2"/>
          <w:sz w:val="32"/>
          <w:szCs w:val="32"/>
        </w:rPr>
        <w:t>充分发挥产业发展平台、研发创新平台和专业服务平台等功能作用，汇聚产业要素资源，激发创新创业活力，助力传统产业转型升级、高质量发展，培育新兴产业集群壮大、引领新发展，积极打造产业新高地、区域经济制高点。</w:t>
      </w:r>
    </w:p>
    <w:p>
      <w:pPr>
        <w:pStyle w:val="14"/>
        <w:shd w:val="clear" w:color="auto" w:fill="FFFFFF"/>
        <w:spacing w:before="0" w:beforeAutospacing="0" w:after="0" w:afterAutospacing="0" w:line="360" w:lineRule="auto"/>
        <w:ind w:firstLine="643" w:firstLineChars="200"/>
        <w:jc w:val="both"/>
        <w:rPr>
          <w:rFonts w:ascii="Times New Roman" w:hAnsi="Times New Roman" w:eastAsia="仿宋"/>
          <w:color w:val="auto"/>
          <w:sz w:val="28"/>
          <w:szCs w:val="28"/>
        </w:rPr>
      </w:pPr>
      <w:r>
        <w:rPr>
          <w:rFonts w:hint="eastAsia" w:ascii="Times New Roman" w:hAnsi="Times New Roman" w:eastAsia="仿宋" w:cstheme="minorBidi"/>
          <w:b/>
          <w:bCs/>
          <w:color w:val="auto"/>
          <w:kern w:val="2"/>
          <w:sz w:val="32"/>
          <w:szCs w:val="32"/>
        </w:rPr>
        <w:t>坚持突出特色、引领跨越。</w:t>
      </w:r>
      <w:r>
        <w:rPr>
          <w:rFonts w:hint="eastAsia" w:ascii="Times New Roman" w:hAnsi="Times New Roman" w:eastAsia="仿宋" w:cstheme="minorBidi"/>
          <w:color w:val="auto"/>
          <w:kern w:val="2"/>
          <w:sz w:val="32"/>
          <w:szCs w:val="32"/>
        </w:rPr>
        <w:t>充分发挥区位优势、产业优势和政策优势，破解制约发展的突出问题，高起点谋划产业布局，推动传统优势产业智能化改造升级，抢占工业互联网发展新风口，把握智能制造新趋势，全力打造智能生产先行区和智慧旅游示范区，引领新经济跨越发展。</w:t>
      </w:r>
    </w:p>
    <w:p>
      <w:pPr>
        <w:pStyle w:val="14"/>
        <w:shd w:val="clear" w:color="auto" w:fill="FFFFFF"/>
        <w:spacing w:before="0" w:beforeAutospacing="0" w:after="0" w:afterAutospacing="0" w:line="360" w:lineRule="auto"/>
        <w:ind w:firstLine="643"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b/>
          <w:bCs/>
          <w:color w:val="auto"/>
          <w:kern w:val="2"/>
          <w:sz w:val="32"/>
          <w:szCs w:val="32"/>
        </w:rPr>
        <w:t>坚持包容审慎、分类施策。</w:t>
      </w:r>
      <w:r>
        <w:rPr>
          <w:rFonts w:hint="eastAsia" w:ascii="Times New Roman" w:hAnsi="Times New Roman" w:eastAsia="仿宋" w:cstheme="minorBidi"/>
          <w:color w:val="auto"/>
          <w:kern w:val="2"/>
          <w:sz w:val="32"/>
          <w:szCs w:val="32"/>
        </w:rPr>
        <w:t>持续优化营商环境，</w:t>
      </w:r>
      <w:r>
        <w:rPr>
          <w:rFonts w:ascii="Times New Roman" w:hAnsi="Times New Roman" w:eastAsia="仿宋" w:cstheme="minorBidi"/>
          <w:color w:val="auto"/>
          <w:kern w:val="2"/>
          <w:sz w:val="32"/>
          <w:szCs w:val="32"/>
        </w:rPr>
        <w:t>以包容审慎原则对待新业态</w:t>
      </w:r>
      <w:r>
        <w:rPr>
          <w:rFonts w:hint="eastAsia" w:ascii="Times New Roman" w:hAnsi="Times New Roman" w:eastAsia="仿宋" w:cstheme="minorBidi"/>
          <w:color w:val="auto"/>
          <w:kern w:val="2"/>
          <w:sz w:val="32"/>
          <w:szCs w:val="32"/>
        </w:rPr>
        <w:t>、</w:t>
      </w:r>
      <w:r>
        <w:rPr>
          <w:rFonts w:ascii="Times New Roman" w:hAnsi="Times New Roman" w:eastAsia="仿宋" w:cstheme="minorBidi"/>
          <w:color w:val="auto"/>
          <w:kern w:val="2"/>
          <w:sz w:val="32"/>
          <w:szCs w:val="32"/>
        </w:rPr>
        <w:t>新模式</w:t>
      </w:r>
      <w:r>
        <w:rPr>
          <w:rFonts w:hint="eastAsia" w:ascii="Times New Roman" w:hAnsi="Times New Roman" w:eastAsia="仿宋" w:cstheme="minorBidi"/>
          <w:color w:val="auto"/>
          <w:kern w:val="2"/>
          <w:sz w:val="32"/>
          <w:szCs w:val="32"/>
        </w:rPr>
        <w:t>，</w:t>
      </w:r>
      <w:r>
        <w:rPr>
          <w:rFonts w:ascii="Times New Roman" w:hAnsi="Times New Roman" w:eastAsia="仿宋" w:cstheme="minorBidi"/>
          <w:color w:val="auto"/>
          <w:kern w:val="2"/>
          <w:sz w:val="32"/>
          <w:szCs w:val="32"/>
        </w:rPr>
        <w:t>在严守安全底线的前提下为新业态发展留足空间</w:t>
      </w:r>
      <w:r>
        <w:rPr>
          <w:rFonts w:hint="eastAsia" w:ascii="Times New Roman" w:hAnsi="Times New Roman" w:eastAsia="仿宋" w:cstheme="minorBidi"/>
          <w:color w:val="auto"/>
          <w:kern w:val="2"/>
          <w:sz w:val="32"/>
          <w:szCs w:val="32"/>
        </w:rPr>
        <w:t>。推进“放管服”协调联动，</w:t>
      </w:r>
      <w:r>
        <w:rPr>
          <w:rFonts w:ascii="Times New Roman" w:hAnsi="Times New Roman" w:eastAsia="仿宋" w:cstheme="minorBidi"/>
          <w:color w:val="auto"/>
          <w:kern w:val="2"/>
          <w:sz w:val="32"/>
          <w:szCs w:val="32"/>
        </w:rPr>
        <w:t>在放宽准入限制的同时</w:t>
      </w:r>
      <w:r>
        <w:rPr>
          <w:rFonts w:hint="eastAsia" w:ascii="Times New Roman" w:hAnsi="Times New Roman" w:eastAsia="仿宋" w:cstheme="minorBidi"/>
          <w:color w:val="auto"/>
          <w:kern w:val="2"/>
          <w:sz w:val="32"/>
          <w:szCs w:val="32"/>
        </w:rPr>
        <w:t>，</w:t>
      </w:r>
      <w:r>
        <w:rPr>
          <w:rFonts w:ascii="Times New Roman" w:hAnsi="Times New Roman" w:eastAsia="仿宋" w:cstheme="minorBidi"/>
          <w:color w:val="auto"/>
          <w:kern w:val="2"/>
          <w:sz w:val="32"/>
          <w:szCs w:val="32"/>
        </w:rPr>
        <w:t>加强和创新事中事后监管</w:t>
      </w:r>
      <w:r>
        <w:rPr>
          <w:rFonts w:hint="eastAsia" w:ascii="Times New Roman" w:hAnsi="Times New Roman" w:eastAsia="仿宋" w:cstheme="minorBidi"/>
          <w:color w:val="auto"/>
          <w:kern w:val="2"/>
          <w:sz w:val="32"/>
          <w:szCs w:val="32"/>
        </w:rPr>
        <w:t>，</w:t>
      </w:r>
      <w:r>
        <w:rPr>
          <w:rFonts w:ascii="Times New Roman" w:hAnsi="Times New Roman" w:eastAsia="仿宋" w:cstheme="minorBidi"/>
          <w:color w:val="auto"/>
          <w:kern w:val="2"/>
          <w:sz w:val="32"/>
          <w:szCs w:val="32"/>
        </w:rPr>
        <w:t>对新业态发展过程中暴露的问题</w:t>
      </w:r>
      <w:r>
        <w:rPr>
          <w:rFonts w:hint="eastAsia" w:ascii="Times New Roman" w:hAnsi="Times New Roman" w:eastAsia="仿宋" w:cstheme="minorBidi"/>
          <w:color w:val="auto"/>
          <w:kern w:val="2"/>
          <w:sz w:val="32"/>
          <w:szCs w:val="32"/>
        </w:rPr>
        <w:t>分类</w:t>
      </w:r>
      <w:r>
        <w:rPr>
          <w:rFonts w:ascii="Times New Roman" w:hAnsi="Times New Roman" w:eastAsia="仿宋" w:cstheme="minorBidi"/>
          <w:color w:val="auto"/>
          <w:kern w:val="2"/>
          <w:sz w:val="32"/>
          <w:szCs w:val="32"/>
        </w:rPr>
        <w:t>施策</w:t>
      </w:r>
      <w:r>
        <w:rPr>
          <w:rFonts w:hint="eastAsia" w:ascii="Times New Roman" w:hAnsi="Times New Roman" w:eastAsia="仿宋" w:cstheme="minorBidi"/>
          <w:color w:val="auto"/>
          <w:kern w:val="2"/>
          <w:sz w:val="32"/>
          <w:szCs w:val="32"/>
        </w:rPr>
        <w:t>、</w:t>
      </w:r>
      <w:r>
        <w:rPr>
          <w:rFonts w:ascii="Times New Roman" w:hAnsi="Times New Roman" w:eastAsia="仿宋" w:cstheme="minorBidi"/>
          <w:color w:val="auto"/>
          <w:kern w:val="2"/>
          <w:sz w:val="32"/>
          <w:szCs w:val="32"/>
        </w:rPr>
        <w:t>对症下药,</w:t>
      </w:r>
      <w:r>
        <w:rPr>
          <w:rFonts w:hint="eastAsia" w:ascii="Times New Roman" w:hAnsi="Times New Roman" w:eastAsia="仿宋" w:cstheme="minorBidi"/>
          <w:color w:val="auto"/>
          <w:kern w:val="2"/>
          <w:sz w:val="32"/>
          <w:szCs w:val="32"/>
        </w:rPr>
        <w:t xml:space="preserve"> 积极引导新业态、新模式有序经营发展。</w:t>
      </w:r>
    </w:p>
    <w:p>
      <w:pPr>
        <w:pStyle w:val="14"/>
        <w:shd w:val="clear" w:color="auto" w:fill="FFFFFF"/>
        <w:spacing w:before="0" w:beforeAutospacing="0" w:after="0" w:afterAutospacing="0" w:line="360" w:lineRule="auto"/>
        <w:ind w:firstLine="643" w:firstLineChars="200"/>
        <w:jc w:val="both"/>
        <w:rPr>
          <w:rFonts w:ascii="Times New Roman" w:hAnsi="Times New Roman" w:eastAsia="仿宋"/>
          <w:color w:val="auto"/>
        </w:rPr>
      </w:pPr>
      <w:r>
        <w:rPr>
          <w:rFonts w:hint="eastAsia" w:ascii="Times New Roman" w:hAnsi="Times New Roman" w:eastAsia="仿宋" w:cstheme="minorBidi"/>
          <w:b/>
          <w:bCs/>
          <w:color w:val="auto"/>
          <w:kern w:val="2"/>
          <w:sz w:val="32"/>
          <w:szCs w:val="32"/>
        </w:rPr>
        <w:t>坚持系统观念，协调发展。</w:t>
      </w:r>
      <w:r>
        <w:rPr>
          <w:rFonts w:hint="eastAsia" w:ascii="Times New Roman" w:hAnsi="Times New Roman" w:eastAsia="仿宋" w:cstheme="minorBidi"/>
          <w:color w:val="auto"/>
          <w:kern w:val="2"/>
          <w:sz w:val="32"/>
          <w:szCs w:val="32"/>
        </w:rPr>
        <w:t>强化大局意识，主动融入新发展格局，当好省、市构建新发展格局的关键“棋子”和重要“链条”。</w:t>
      </w:r>
      <w:r>
        <w:rPr>
          <w:rFonts w:ascii="Times New Roman" w:hAnsi="Times New Roman" w:eastAsia="仿宋" w:cstheme="minorBidi"/>
          <w:color w:val="auto"/>
          <w:kern w:val="2"/>
          <w:sz w:val="32"/>
          <w:szCs w:val="32"/>
        </w:rPr>
        <w:t>加强前瞻性思考</w:t>
      </w:r>
      <w:r>
        <w:rPr>
          <w:rFonts w:hint="eastAsia" w:ascii="Times New Roman" w:hAnsi="Times New Roman" w:eastAsia="仿宋" w:cstheme="minorBidi"/>
          <w:color w:val="auto"/>
          <w:kern w:val="2"/>
          <w:sz w:val="32"/>
          <w:szCs w:val="32"/>
        </w:rPr>
        <w:t>，准确把握</w:t>
      </w:r>
      <w:r>
        <w:rPr>
          <w:rFonts w:ascii="Times New Roman" w:hAnsi="Times New Roman" w:eastAsia="仿宋" w:cstheme="minorBidi"/>
          <w:color w:val="auto"/>
          <w:kern w:val="2"/>
          <w:sz w:val="32"/>
          <w:szCs w:val="32"/>
        </w:rPr>
        <w:t>新业态发展趋势以及驱动因素</w:t>
      </w:r>
      <w:r>
        <w:rPr>
          <w:rFonts w:hint="eastAsia" w:ascii="Times New Roman" w:hAnsi="Times New Roman" w:eastAsia="仿宋" w:cstheme="minorBidi"/>
          <w:color w:val="auto"/>
          <w:kern w:val="2"/>
          <w:sz w:val="32"/>
          <w:szCs w:val="32"/>
        </w:rPr>
        <w:t>，促进新旧动能转换，兼顾新兴产业和传统产业互动发展</w:t>
      </w:r>
      <w:r>
        <w:rPr>
          <w:rFonts w:ascii="Times New Roman" w:hAnsi="Times New Roman" w:eastAsia="仿宋" w:cstheme="minorBidi"/>
          <w:color w:val="auto"/>
          <w:kern w:val="2"/>
          <w:sz w:val="32"/>
          <w:szCs w:val="32"/>
        </w:rPr>
        <w:t>,推进新技术、新产业、新业态、新模式</w:t>
      </w:r>
      <w:r>
        <w:rPr>
          <w:rFonts w:hint="eastAsia" w:ascii="Times New Roman" w:hAnsi="Times New Roman" w:eastAsia="仿宋" w:cstheme="minorBidi"/>
          <w:color w:val="auto"/>
          <w:kern w:val="2"/>
          <w:sz w:val="32"/>
          <w:szCs w:val="32"/>
        </w:rPr>
        <w:t>协调</w:t>
      </w:r>
      <w:r>
        <w:rPr>
          <w:rFonts w:ascii="Times New Roman" w:hAnsi="Times New Roman" w:eastAsia="仿宋" w:cstheme="minorBidi"/>
          <w:color w:val="auto"/>
          <w:kern w:val="2"/>
          <w:sz w:val="32"/>
          <w:szCs w:val="32"/>
        </w:rPr>
        <w:t>发展</w:t>
      </w:r>
      <w:r>
        <w:rPr>
          <w:rFonts w:hint="eastAsia" w:ascii="Times New Roman" w:hAnsi="Times New Roman" w:eastAsia="仿宋" w:cstheme="minorBidi"/>
          <w:color w:val="auto"/>
          <w:kern w:val="2"/>
          <w:sz w:val="32"/>
          <w:szCs w:val="32"/>
        </w:rPr>
        <w:t>。</w:t>
      </w:r>
      <w:r>
        <w:rPr>
          <w:rFonts w:ascii="Times New Roman" w:hAnsi="Times New Roman" w:eastAsia="仿宋"/>
          <w:color w:val="auto"/>
        </w:rPr>
        <w:t xml:space="preserve"> </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6" w:name="_Toc988"/>
      <w:r>
        <w:rPr>
          <w:rFonts w:hint="eastAsia" w:ascii="Times New Roman" w:hAnsi="Times New Roman" w:eastAsia="仿宋"/>
          <w:b/>
          <w:bCs/>
          <w:color w:val="auto"/>
          <w:sz w:val="32"/>
          <w:szCs w:val="32"/>
        </w:rPr>
        <w:t>（三）发展目标</w:t>
      </w:r>
      <w:bookmarkEnd w:id="6"/>
    </w:p>
    <w:p>
      <w:pPr>
        <w:pStyle w:val="14"/>
        <w:shd w:val="clear" w:color="auto" w:fill="FFFFFF"/>
        <w:spacing w:before="0" w:beforeAutospacing="0" w:after="0" w:afterAutospacing="0" w:line="360" w:lineRule="auto"/>
        <w:ind w:firstLine="640" w:firstLineChars="200"/>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聚焦“转型出雏型”战略目标，</w:t>
      </w:r>
      <w:r>
        <w:rPr>
          <w:rFonts w:hint="eastAsia" w:ascii="Times New Roman" w:hAnsi="Times New Roman" w:eastAsia="仿宋" w:cstheme="minorBidi"/>
          <w:color w:val="auto"/>
          <w:kern w:val="2"/>
          <w:sz w:val="32"/>
          <w:szCs w:val="32"/>
          <w:lang w:eastAsia="zh-CN"/>
        </w:rPr>
        <w:t>“</w:t>
      </w:r>
      <w:r>
        <w:rPr>
          <w:rFonts w:hint="eastAsia" w:ascii="Times New Roman" w:hAnsi="Times New Roman" w:eastAsia="仿宋" w:cstheme="minorBidi"/>
          <w:color w:val="auto"/>
          <w:kern w:val="2"/>
          <w:sz w:val="32"/>
          <w:szCs w:val="32"/>
        </w:rPr>
        <w:t>十四五</w:t>
      </w:r>
      <w:r>
        <w:rPr>
          <w:rFonts w:hint="eastAsia" w:ascii="Times New Roman" w:hAnsi="Times New Roman" w:eastAsia="仿宋" w:cstheme="minorBidi"/>
          <w:color w:val="auto"/>
          <w:kern w:val="2"/>
          <w:sz w:val="32"/>
          <w:szCs w:val="32"/>
          <w:lang w:eastAsia="zh-CN"/>
        </w:rPr>
        <w:t>”</w:t>
      </w:r>
      <w:r>
        <w:rPr>
          <w:rFonts w:hint="eastAsia" w:ascii="Times New Roman" w:hAnsi="Times New Roman" w:eastAsia="仿宋" w:cstheme="minorBidi"/>
          <w:color w:val="auto"/>
          <w:kern w:val="2"/>
          <w:sz w:val="32"/>
          <w:szCs w:val="32"/>
        </w:rPr>
        <w:t xml:space="preserve">时期，我县新业态发展要努力实现以下主要目标： </w:t>
      </w:r>
    </w:p>
    <w:p>
      <w:pPr>
        <w:pStyle w:val="14"/>
        <w:shd w:val="clear" w:color="auto" w:fill="FFFFFF"/>
        <w:spacing w:before="0" w:beforeAutospacing="0" w:after="0" w:afterAutospacing="0" w:line="360" w:lineRule="auto"/>
        <w:ind w:firstLine="643" w:firstLineChars="200"/>
        <w:rPr>
          <w:rFonts w:ascii="Times New Roman" w:hAnsi="Times New Roman" w:eastAsia="仿宋" w:cstheme="minorBidi"/>
          <w:color w:val="auto"/>
          <w:kern w:val="2"/>
          <w:sz w:val="32"/>
          <w:szCs w:val="32"/>
        </w:rPr>
      </w:pPr>
      <w:r>
        <w:rPr>
          <w:rFonts w:hint="eastAsia" w:ascii="Times New Roman" w:hAnsi="Times New Roman" w:eastAsia="仿宋" w:cstheme="minorBidi"/>
          <w:b/>
          <w:color w:val="auto"/>
          <w:kern w:val="2"/>
          <w:sz w:val="32"/>
          <w:szCs w:val="32"/>
        </w:rPr>
        <w:t>1.产业融合加快推进。</w:t>
      </w:r>
      <w:r>
        <w:rPr>
          <w:rFonts w:hint="eastAsia" w:ascii="Times New Roman" w:hAnsi="Times New Roman" w:eastAsia="仿宋" w:cstheme="minorBidi"/>
          <w:color w:val="auto"/>
          <w:kern w:val="2"/>
          <w:sz w:val="32"/>
          <w:szCs w:val="32"/>
        </w:rPr>
        <w:t>加快推动互联网、大数据、云计算、人工智能、区块链等技术</w:t>
      </w:r>
      <w:r>
        <w:rPr>
          <w:rFonts w:ascii="Times New Roman" w:hAnsi="Times New Roman" w:eastAsia="仿宋" w:cstheme="minorBidi"/>
          <w:color w:val="auto"/>
          <w:kern w:val="2"/>
          <w:sz w:val="32"/>
          <w:szCs w:val="32"/>
        </w:rPr>
        <w:t>融入经济社会发展各领域全过程</w:t>
      </w:r>
      <w:r>
        <w:rPr>
          <w:rFonts w:hint="eastAsia" w:ascii="Times New Roman" w:hAnsi="Times New Roman" w:eastAsia="仿宋" w:cstheme="minorBidi"/>
          <w:color w:val="auto"/>
          <w:kern w:val="2"/>
          <w:sz w:val="32"/>
          <w:szCs w:val="32"/>
        </w:rPr>
        <w:t>，</w:t>
      </w:r>
      <w:r>
        <w:rPr>
          <w:rFonts w:ascii="Times New Roman" w:hAnsi="Times New Roman" w:eastAsia="仿宋" w:cstheme="minorBidi"/>
          <w:color w:val="auto"/>
          <w:kern w:val="2"/>
          <w:sz w:val="32"/>
          <w:szCs w:val="32"/>
        </w:rPr>
        <w:t>有效发挥数字化创新对实体经</w:t>
      </w:r>
      <w:r>
        <w:rPr>
          <w:rFonts w:hint="eastAsia" w:ascii="Times New Roman" w:hAnsi="Times New Roman" w:eastAsia="仿宋" w:cstheme="minorBidi"/>
          <w:color w:val="auto"/>
          <w:kern w:val="2"/>
          <w:sz w:val="32"/>
          <w:szCs w:val="32"/>
        </w:rPr>
        <w:t>济提质增效带动作用。到2</w:t>
      </w:r>
      <w:r>
        <w:rPr>
          <w:rFonts w:ascii="Times New Roman" w:hAnsi="Times New Roman" w:eastAsia="仿宋" w:cstheme="minorBidi"/>
          <w:color w:val="auto"/>
          <w:kern w:val="2"/>
          <w:sz w:val="32"/>
          <w:szCs w:val="32"/>
        </w:rPr>
        <w:t>025</w:t>
      </w:r>
      <w:r>
        <w:rPr>
          <w:rFonts w:hint="eastAsia" w:ascii="Times New Roman" w:hAnsi="Times New Roman" w:eastAsia="仿宋" w:cstheme="minorBidi"/>
          <w:color w:val="auto"/>
          <w:kern w:val="2"/>
          <w:sz w:val="32"/>
          <w:szCs w:val="32"/>
        </w:rPr>
        <w:t>年，全县数字经济核心产业增加值占G</w:t>
      </w:r>
      <w:r>
        <w:rPr>
          <w:rFonts w:ascii="Times New Roman" w:hAnsi="Times New Roman" w:eastAsia="仿宋" w:cstheme="minorBidi"/>
          <w:color w:val="auto"/>
          <w:kern w:val="2"/>
          <w:sz w:val="32"/>
          <w:szCs w:val="32"/>
        </w:rPr>
        <w:t>DP</w:t>
      </w:r>
      <w:r>
        <w:rPr>
          <w:rFonts w:hint="eastAsia" w:ascii="Times New Roman" w:hAnsi="Times New Roman" w:eastAsia="仿宋" w:cstheme="minorBidi"/>
          <w:color w:val="auto"/>
          <w:kern w:val="2"/>
          <w:sz w:val="32"/>
          <w:szCs w:val="32"/>
        </w:rPr>
        <w:t>的比重达到6</w:t>
      </w:r>
      <w:r>
        <w:rPr>
          <w:rFonts w:ascii="Times New Roman" w:hAnsi="Times New Roman" w:eastAsia="仿宋" w:cstheme="minorBidi"/>
          <w:color w:val="auto"/>
          <w:kern w:val="2"/>
          <w:sz w:val="32"/>
          <w:szCs w:val="32"/>
        </w:rPr>
        <w:t>%</w:t>
      </w:r>
      <w:r>
        <w:rPr>
          <w:rFonts w:hint="eastAsia" w:ascii="Times New Roman" w:hAnsi="Times New Roman" w:eastAsia="仿宋" w:cstheme="minorBidi"/>
          <w:color w:val="auto"/>
          <w:kern w:val="2"/>
          <w:sz w:val="32"/>
          <w:szCs w:val="32"/>
        </w:rPr>
        <w:t>。</w:t>
      </w:r>
    </w:p>
    <w:p>
      <w:pPr>
        <w:pStyle w:val="14"/>
        <w:shd w:val="clear" w:color="auto" w:fill="FFFFFF"/>
        <w:spacing w:before="0" w:beforeAutospacing="0" w:after="0" w:afterAutospacing="0" w:line="360" w:lineRule="auto"/>
        <w:ind w:firstLine="643" w:firstLineChars="200"/>
        <w:rPr>
          <w:rFonts w:ascii="Times New Roman" w:hAnsi="Times New Roman" w:eastAsia="仿宋" w:cstheme="minorBidi"/>
          <w:b/>
          <w:bCs/>
          <w:color w:val="auto"/>
          <w:kern w:val="2"/>
          <w:sz w:val="32"/>
          <w:szCs w:val="32"/>
        </w:rPr>
      </w:pPr>
      <w:r>
        <w:rPr>
          <w:rFonts w:hint="eastAsia" w:ascii="Times New Roman" w:hAnsi="Times New Roman" w:eastAsia="仿宋" w:cstheme="minorBidi"/>
          <w:b/>
          <w:bCs/>
          <w:color w:val="auto"/>
          <w:kern w:val="2"/>
          <w:sz w:val="32"/>
          <w:szCs w:val="32"/>
        </w:rPr>
        <w:t>2</w:t>
      </w:r>
      <w:r>
        <w:rPr>
          <w:rFonts w:ascii="Times New Roman" w:hAnsi="Times New Roman" w:eastAsia="仿宋" w:cstheme="minorBidi"/>
          <w:b/>
          <w:bCs/>
          <w:color w:val="auto"/>
          <w:kern w:val="2"/>
          <w:sz w:val="32"/>
          <w:szCs w:val="32"/>
        </w:rPr>
        <w:t>.</w:t>
      </w:r>
      <w:r>
        <w:rPr>
          <w:rFonts w:hint="eastAsia" w:ascii="Times New Roman" w:hAnsi="Times New Roman" w:eastAsia="仿宋" w:cstheme="minorBidi"/>
          <w:b/>
          <w:bCs/>
          <w:color w:val="auto"/>
          <w:kern w:val="2"/>
          <w:sz w:val="32"/>
          <w:szCs w:val="32"/>
        </w:rPr>
        <w:t>创新能力显著提升。</w:t>
      </w:r>
      <w:r>
        <w:rPr>
          <w:rFonts w:hint="eastAsia" w:ascii="Times New Roman" w:hAnsi="Times New Roman" w:eastAsia="仿宋" w:cstheme="minorBidi"/>
          <w:color w:val="auto"/>
          <w:kern w:val="2"/>
          <w:sz w:val="32"/>
          <w:szCs w:val="32"/>
        </w:rPr>
        <w:t>政、产、学、研、金、服、用深度融合，围绕陶瓷、新能源、生物医药、文旅等领域设立科研飞地。建设一批创新能力强、行业影响大的公共服务平台，支持工业互联网平台改造提升传统产业、先进制造业，</w:t>
      </w:r>
      <w:r>
        <w:rPr>
          <w:rFonts w:ascii="Times New Roman" w:hAnsi="Times New Roman" w:eastAsia="仿宋" w:cstheme="minorBidi"/>
          <w:color w:val="auto"/>
          <w:kern w:val="2"/>
          <w:sz w:val="32"/>
          <w:szCs w:val="32"/>
        </w:rPr>
        <w:t>支持消费领域平台企业挖掘市场潜力</w:t>
      </w:r>
      <w:r>
        <w:rPr>
          <w:rFonts w:hint="eastAsia" w:ascii="Times New Roman" w:hAnsi="Times New Roman" w:eastAsia="仿宋" w:cstheme="minorBidi"/>
          <w:color w:val="auto"/>
          <w:kern w:val="2"/>
          <w:sz w:val="32"/>
          <w:szCs w:val="32"/>
        </w:rPr>
        <w:t>，</w:t>
      </w:r>
      <w:r>
        <w:rPr>
          <w:rFonts w:ascii="Times New Roman" w:hAnsi="Times New Roman" w:eastAsia="仿宋" w:cstheme="minorBidi"/>
          <w:color w:val="auto"/>
          <w:kern w:val="2"/>
          <w:sz w:val="32"/>
          <w:szCs w:val="32"/>
        </w:rPr>
        <w:t>推动平台</w:t>
      </w:r>
      <w:r>
        <w:rPr>
          <w:rFonts w:hint="eastAsia" w:ascii="Times New Roman" w:hAnsi="Times New Roman" w:eastAsia="仿宋" w:cstheme="minorBidi"/>
          <w:color w:val="auto"/>
          <w:kern w:val="2"/>
          <w:sz w:val="32"/>
          <w:szCs w:val="32"/>
        </w:rPr>
        <w:t>经济为高质量发展和高品质生活服务。</w:t>
      </w:r>
    </w:p>
    <w:p>
      <w:pPr>
        <w:pStyle w:val="14"/>
        <w:shd w:val="clear" w:color="auto" w:fill="FFFFFF"/>
        <w:spacing w:before="0" w:beforeAutospacing="0" w:after="0" w:afterAutospacing="0" w:line="360" w:lineRule="auto"/>
        <w:ind w:firstLine="643" w:firstLineChars="200"/>
        <w:rPr>
          <w:rFonts w:ascii="Times New Roman" w:hAnsi="Times New Roman" w:eastAsia="仿宋" w:cstheme="minorBidi"/>
          <w:color w:val="auto"/>
          <w:kern w:val="2"/>
          <w:sz w:val="32"/>
          <w:szCs w:val="32"/>
        </w:rPr>
      </w:pPr>
      <w:r>
        <w:rPr>
          <w:rFonts w:hint="eastAsia" w:ascii="Times New Roman" w:hAnsi="Times New Roman" w:eastAsia="仿宋" w:cstheme="minorBidi"/>
          <w:b/>
          <w:bCs/>
          <w:color w:val="auto"/>
          <w:kern w:val="2"/>
          <w:sz w:val="32"/>
          <w:szCs w:val="32"/>
        </w:rPr>
        <w:t>3</w:t>
      </w:r>
      <w:r>
        <w:rPr>
          <w:rFonts w:ascii="Times New Roman" w:hAnsi="Times New Roman" w:eastAsia="仿宋" w:cstheme="minorBidi"/>
          <w:b/>
          <w:bCs/>
          <w:color w:val="auto"/>
          <w:kern w:val="2"/>
          <w:sz w:val="32"/>
          <w:szCs w:val="32"/>
        </w:rPr>
        <w:t>.</w:t>
      </w:r>
      <w:r>
        <w:rPr>
          <w:rFonts w:hint="eastAsia" w:ascii="Times New Roman" w:hAnsi="Times New Roman" w:eastAsia="仿宋" w:cstheme="minorBidi"/>
          <w:b/>
          <w:bCs/>
          <w:color w:val="auto"/>
          <w:kern w:val="2"/>
          <w:sz w:val="32"/>
          <w:szCs w:val="32"/>
        </w:rPr>
        <w:t>示范带动明显增强。</w:t>
      </w:r>
      <w:r>
        <w:rPr>
          <w:rFonts w:hint="eastAsia" w:ascii="Times New Roman" w:hAnsi="Times New Roman" w:eastAsia="仿宋" w:cstheme="minorBidi"/>
          <w:color w:val="auto"/>
          <w:kern w:val="2"/>
          <w:sz w:val="32"/>
          <w:szCs w:val="32"/>
        </w:rPr>
        <w:t>围绕智能制造、智慧矿山、智慧物流、智慧农业、智慧文旅和智慧城市等领域布局一批新模式、新技术应用场景。智能制造、智慧矿山等领域掌握一批关键核心技术，在智慧文旅、休闲观光农业、在线医疗、在线教育、直播电商等领域涌现出一批自主创新品牌，</w:t>
      </w:r>
      <w:r>
        <w:rPr>
          <w:rFonts w:ascii="Times New Roman" w:hAnsi="Times New Roman" w:eastAsia="仿宋" w:cstheme="minorBidi"/>
          <w:color w:val="auto"/>
          <w:kern w:val="2"/>
          <w:sz w:val="32"/>
          <w:szCs w:val="32"/>
        </w:rPr>
        <w:t>将</w:t>
      </w:r>
      <w:r>
        <w:rPr>
          <w:rFonts w:hint="eastAsia" w:ascii="Times New Roman" w:hAnsi="Times New Roman" w:eastAsia="仿宋" w:cstheme="minorBidi"/>
          <w:color w:val="auto"/>
          <w:kern w:val="2"/>
          <w:sz w:val="32"/>
          <w:szCs w:val="32"/>
        </w:rPr>
        <w:t>我县打造成为全国有影响力的数字经济示范基地。</w:t>
      </w:r>
    </w:p>
    <w:p>
      <w:pPr>
        <w:pStyle w:val="14"/>
        <w:shd w:val="clear" w:color="auto" w:fill="FFFFFF"/>
        <w:spacing w:before="0" w:beforeAutospacing="0" w:after="0" w:afterAutospacing="0" w:line="360" w:lineRule="auto"/>
        <w:ind w:firstLine="643" w:firstLineChars="200"/>
        <w:rPr>
          <w:rFonts w:ascii="Times New Roman" w:hAnsi="Times New Roman" w:eastAsia="仿宋" w:cstheme="minorBidi"/>
          <w:color w:val="auto"/>
          <w:kern w:val="2"/>
          <w:sz w:val="32"/>
          <w:szCs w:val="32"/>
        </w:rPr>
      </w:pPr>
      <w:r>
        <w:rPr>
          <w:rFonts w:hint="eastAsia" w:ascii="Times New Roman" w:hAnsi="Times New Roman" w:eastAsia="仿宋" w:cstheme="minorBidi"/>
          <w:b/>
          <w:color w:val="auto"/>
          <w:kern w:val="2"/>
          <w:sz w:val="32"/>
          <w:szCs w:val="32"/>
        </w:rPr>
        <w:t>4.消费环境更加完善。</w:t>
      </w:r>
      <w:r>
        <w:rPr>
          <w:rFonts w:ascii="Times New Roman" w:hAnsi="Times New Roman" w:eastAsia="仿宋" w:cstheme="minorBidi"/>
          <w:color w:val="auto"/>
          <w:kern w:val="2"/>
          <w:sz w:val="32"/>
          <w:szCs w:val="32"/>
        </w:rPr>
        <w:t>促进新型消费发展的体制机制和政策体系更加完善，通过进一步优化新业态新模式引领新型消费发展的环境、进一步提升新型消费产品的供给质量、进一步增强新型消费对扩内需稳就业的支撑</w:t>
      </w:r>
      <w:r>
        <w:rPr>
          <w:rFonts w:hint="eastAsia" w:ascii="Times New Roman" w:hAnsi="Times New Roman" w:eastAsia="仿宋" w:cstheme="minorBidi"/>
          <w:color w:val="auto"/>
          <w:kern w:val="2"/>
          <w:sz w:val="32"/>
          <w:szCs w:val="32"/>
        </w:rPr>
        <w:t>。</w:t>
      </w:r>
      <w:r>
        <w:rPr>
          <w:rFonts w:ascii="Times New Roman" w:hAnsi="Times New Roman" w:eastAsia="仿宋" w:cstheme="minorBidi"/>
          <w:color w:val="auto"/>
          <w:kern w:val="2"/>
          <w:sz w:val="32"/>
          <w:szCs w:val="32"/>
        </w:rPr>
        <w:t>到2025年，行政村邮政快递服务网点实现全覆盖</w:t>
      </w:r>
      <w:r>
        <w:rPr>
          <w:rFonts w:hint="eastAsia" w:ascii="Times New Roman" w:hAnsi="Times New Roman" w:eastAsia="仿宋" w:cstheme="minorBidi"/>
          <w:color w:val="auto"/>
          <w:kern w:val="2"/>
          <w:sz w:val="32"/>
          <w:szCs w:val="32"/>
        </w:rPr>
        <w:t>，全国电子商务进农村示范县成功创建，</w:t>
      </w:r>
      <w:r>
        <w:rPr>
          <w:rFonts w:ascii="Times New Roman" w:hAnsi="Times New Roman" w:eastAsia="仿宋" w:cstheme="minorBidi"/>
          <w:color w:val="auto"/>
          <w:kern w:val="2"/>
          <w:sz w:val="32"/>
          <w:szCs w:val="32"/>
        </w:rPr>
        <w:t>实物商品网上零售额占社会消费品零售总额比重</w:t>
      </w:r>
      <w:r>
        <w:rPr>
          <w:rFonts w:hint="eastAsia" w:ascii="Times New Roman" w:hAnsi="Times New Roman" w:eastAsia="仿宋" w:cstheme="minorBidi"/>
          <w:color w:val="auto"/>
          <w:kern w:val="2"/>
          <w:sz w:val="32"/>
          <w:szCs w:val="32"/>
        </w:rPr>
        <w:t>达30%，“互联网+服务”</w:t>
      </w:r>
      <w:r>
        <w:rPr>
          <w:rFonts w:ascii="Times New Roman" w:hAnsi="Times New Roman" w:eastAsia="仿宋" w:cstheme="minorBidi"/>
          <w:color w:val="auto"/>
          <w:kern w:val="2"/>
          <w:sz w:val="32"/>
          <w:szCs w:val="32"/>
        </w:rPr>
        <w:t>等消费新业态新模式得到普及并趋于成熟。</w:t>
      </w:r>
    </w:p>
    <w:p>
      <w:pPr>
        <w:pStyle w:val="14"/>
        <w:shd w:val="clear" w:color="auto" w:fill="FFFFFF"/>
        <w:spacing w:before="0" w:beforeAutospacing="0" w:after="0" w:afterAutospacing="0" w:line="360" w:lineRule="auto"/>
        <w:ind w:firstLine="643" w:firstLineChars="200"/>
        <w:rPr>
          <w:rFonts w:ascii="Times New Roman" w:hAnsi="Times New Roman" w:eastAsia="仿宋" w:cstheme="minorBidi"/>
          <w:color w:val="auto"/>
          <w:kern w:val="2"/>
          <w:sz w:val="32"/>
          <w:szCs w:val="32"/>
        </w:rPr>
      </w:pPr>
      <w:r>
        <w:rPr>
          <w:rFonts w:ascii="Times New Roman" w:hAnsi="Times New Roman" w:eastAsia="仿宋" w:cstheme="minorBidi"/>
          <w:b/>
          <w:bCs/>
          <w:color w:val="auto"/>
          <w:kern w:val="2"/>
          <w:sz w:val="32"/>
          <w:szCs w:val="32"/>
        </w:rPr>
        <w:t>5.</w:t>
      </w:r>
      <w:r>
        <w:rPr>
          <w:rFonts w:hint="eastAsia" w:ascii="Times New Roman" w:hAnsi="Times New Roman" w:eastAsia="仿宋" w:cstheme="minorBidi"/>
          <w:b/>
          <w:bCs/>
          <w:color w:val="auto"/>
          <w:kern w:val="2"/>
          <w:sz w:val="32"/>
          <w:szCs w:val="32"/>
        </w:rPr>
        <w:t>发展环境持续优化。</w:t>
      </w:r>
      <w:r>
        <w:rPr>
          <w:rFonts w:hint="eastAsia" w:ascii="Times New Roman" w:hAnsi="Times New Roman" w:eastAsia="仿宋" w:cstheme="minorBidi"/>
          <w:color w:val="auto"/>
          <w:kern w:val="2"/>
          <w:sz w:val="32"/>
          <w:szCs w:val="32"/>
        </w:rPr>
        <w:t>持续深化“放管服效”改革，</w:t>
      </w:r>
      <w:r>
        <w:rPr>
          <w:rFonts w:ascii="Times New Roman" w:hAnsi="Times New Roman" w:eastAsia="仿宋" w:cstheme="minorBidi"/>
          <w:color w:val="auto"/>
          <w:kern w:val="2"/>
          <w:sz w:val="32"/>
          <w:szCs w:val="32"/>
        </w:rPr>
        <w:t>全面清理不</w:t>
      </w:r>
      <w:r>
        <w:rPr>
          <w:rFonts w:hint="eastAsia" w:ascii="Times New Roman" w:hAnsi="Times New Roman" w:eastAsia="仿宋" w:cstheme="minorBidi"/>
          <w:color w:val="auto"/>
          <w:kern w:val="2"/>
          <w:sz w:val="32"/>
          <w:szCs w:val="32"/>
        </w:rPr>
        <w:t>合理限制和隐性壁垒，“非禁即入”普遍落实。</w:t>
      </w:r>
      <w:r>
        <w:rPr>
          <w:rFonts w:ascii="Times New Roman" w:hAnsi="Times New Roman" w:eastAsia="仿宋" w:cstheme="minorBidi"/>
          <w:color w:val="auto"/>
          <w:kern w:val="2"/>
          <w:sz w:val="32"/>
          <w:szCs w:val="32"/>
        </w:rPr>
        <w:t>按照包容审慎和协</w:t>
      </w:r>
      <w:r>
        <w:rPr>
          <w:rFonts w:hint="eastAsia" w:ascii="Times New Roman" w:hAnsi="Times New Roman" w:eastAsia="仿宋" w:cstheme="minorBidi"/>
          <w:color w:val="auto"/>
          <w:kern w:val="2"/>
          <w:sz w:val="32"/>
          <w:szCs w:val="32"/>
        </w:rPr>
        <w:t>同监管原则，</w:t>
      </w:r>
      <w:r>
        <w:rPr>
          <w:rFonts w:ascii="Times New Roman" w:hAnsi="Times New Roman" w:eastAsia="仿宋" w:cstheme="minorBidi"/>
          <w:color w:val="auto"/>
          <w:kern w:val="2"/>
          <w:sz w:val="32"/>
          <w:szCs w:val="32"/>
        </w:rPr>
        <w:t>构建以信用为基础的新型监管机制</w:t>
      </w:r>
      <w:r>
        <w:rPr>
          <w:rFonts w:hint="eastAsia" w:ascii="Times New Roman" w:hAnsi="Times New Roman" w:eastAsia="仿宋" w:cstheme="minorBidi"/>
          <w:color w:val="auto"/>
          <w:kern w:val="2"/>
          <w:sz w:val="32"/>
          <w:szCs w:val="32"/>
        </w:rPr>
        <w:t>，</w:t>
      </w:r>
      <w:r>
        <w:rPr>
          <w:rFonts w:ascii="Times New Roman" w:hAnsi="Times New Roman" w:eastAsia="仿宋" w:cstheme="minorBidi"/>
          <w:color w:val="auto"/>
          <w:kern w:val="2"/>
          <w:sz w:val="32"/>
          <w:szCs w:val="32"/>
        </w:rPr>
        <w:t>完善跨部门协同</w:t>
      </w:r>
      <w:r>
        <w:rPr>
          <w:rFonts w:hint="eastAsia" w:ascii="Times New Roman" w:hAnsi="Times New Roman" w:eastAsia="仿宋" w:cstheme="minorBidi"/>
          <w:color w:val="auto"/>
          <w:kern w:val="2"/>
          <w:sz w:val="32"/>
          <w:szCs w:val="32"/>
        </w:rPr>
        <w:t>监管机制，</w:t>
      </w:r>
      <w:r>
        <w:rPr>
          <w:rFonts w:ascii="Times New Roman" w:hAnsi="Times New Roman" w:eastAsia="仿宋" w:cstheme="minorBidi"/>
          <w:color w:val="auto"/>
          <w:kern w:val="2"/>
          <w:sz w:val="32"/>
          <w:szCs w:val="32"/>
        </w:rPr>
        <w:t>实现线上线下协调互补、市场监管与行业监管联接互</w:t>
      </w:r>
      <w:r>
        <w:rPr>
          <w:rFonts w:hint="eastAsia" w:ascii="Times New Roman" w:hAnsi="Times New Roman" w:eastAsia="仿宋" w:cstheme="minorBidi"/>
          <w:color w:val="auto"/>
          <w:kern w:val="2"/>
          <w:sz w:val="32"/>
          <w:szCs w:val="32"/>
        </w:rPr>
        <w:t>动，</w:t>
      </w:r>
      <w:r>
        <w:rPr>
          <w:rFonts w:ascii="Times New Roman" w:hAnsi="Times New Roman" w:eastAsia="仿宋" w:cstheme="minorBidi"/>
          <w:color w:val="auto"/>
          <w:kern w:val="2"/>
          <w:sz w:val="32"/>
          <w:szCs w:val="32"/>
        </w:rPr>
        <w:t>为新业态营造规范适度的发展环境</w:t>
      </w:r>
      <w:r>
        <w:rPr>
          <w:rFonts w:hint="eastAsia" w:ascii="Times New Roman" w:hAnsi="Times New Roman" w:eastAsia="仿宋" w:cstheme="minorBidi"/>
          <w:color w:val="auto"/>
          <w:kern w:val="2"/>
          <w:sz w:val="32"/>
          <w:szCs w:val="32"/>
        </w:rPr>
        <w:t>。</w:t>
      </w:r>
    </w:p>
    <w:p>
      <w:pPr>
        <w:rPr>
          <w:color w:val="auto"/>
        </w:rPr>
      </w:pPr>
    </w:p>
    <w:p>
      <w:pPr>
        <w:pStyle w:val="2"/>
        <w:spacing w:before="0" w:after="0" w:line="360" w:lineRule="auto"/>
        <w:ind w:firstLine="600" w:firstLineChars="200"/>
        <w:rPr>
          <w:rFonts w:ascii="黑体" w:hAnsi="黑体" w:eastAsia="黑体"/>
          <w:b w:val="0"/>
          <w:bCs w:val="0"/>
          <w:color w:val="auto"/>
          <w:sz w:val="30"/>
          <w:szCs w:val="30"/>
        </w:rPr>
      </w:pPr>
      <w:bookmarkStart w:id="7" w:name="_Toc27541"/>
      <w:bookmarkStart w:id="8" w:name="_Toc27128"/>
      <w:r>
        <w:rPr>
          <w:rFonts w:hint="eastAsia" w:ascii="黑体" w:hAnsi="黑体" w:eastAsia="黑体"/>
          <w:b w:val="0"/>
          <w:bCs w:val="0"/>
          <w:color w:val="auto"/>
          <w:sz w:val="30"/>
          <w:szCs w:val="30"/>
        </w:rPr>
        <w:t>三、重点</w:t>
      </w:r>
      <w:r>
        <w:rPr>
          <w:rFonts w:ascii="黑体" w:hAnsi="黑体" w:eastAsia="黑体"/>
          <w:b w:val="0"/>
          <w:bCs w:val="0"/>
          <w:color w:val="auto"/>
          <w:sz w:val="30"/>
          <w:szCs w:val="30"/>
        </w:rPr>
        <w:t>任务</w:t>
      </w:r>
      <w:bookmarkEnd w:id="7"/>
      <w:bookmarkEnd w:id="8"/>
    </w:p>
    <w:p>
      <w:pPr>
        <w:spacing w:before="156" w:beforeLines="50" w:after="156" w:afterLines="50" w:line="600" w:lineRule="exact"/>
        <w:ind w:firstLine="643" w:firstLineChars="200"/>
        <w:outlineLvl w:val="1"/>
        <w:rPr>
          <w:rFonts w:hint="eastAsia" w:ascii="Times New Roman" w:hAnsi="Times New Roman" w:eastAsia="仿宋"/>
          <w:b/>
          <w:bCs/>
          <w:color w:val="auto"/>
          <w:sz w:val="32"/>
          <w:szCs w:val="32"/>
          <w:lang w:val="en-US" w:eastAsia="zh-CN"/>
        </w:rPr>
      </w:pPr>
      <w:bookmarkStart w:id="9" w:name="_Toc31035"/>
      <w:r>
        <w:rPr>
          <w:rFonts w:hint="eastAsia" w:ascii="Times New Roman" w:hAnsi="Times New Roman" w:eastAsia="仿宋"/>
          <w:b/>
          <w:bCs/>
          <w:color w:val="auto"/>
          <w:sz w:val="32"/>
          <w:szCs w:val="32"/>
        </w:rPr>
        <w:t>（一）聚焦</w:t>
      </w:r>
      <w:r>
        <w:rPr>
          <w:rFonts w:hint="eastAsia" w:ascii="Times New Roman" w:hAnsi="Times New Roman" w:eastAsia="仿宋"/>
          <w:b/>
          <w:bCs/>
          <w:color w:val="auto"/>
          <w:sz w:val="32"/>
          <w:szCs w:val="32"/>
          <w:lang w:val="en-US" w:eastAsia="zh-CN"/>
        </w:rPr>
        <w:t>数字城管</w:t>
      </w:r>
      <w:r>
        <w:rPr>
          <w:rFonts w:hint="eastAsia" w:ascii="Times New Roman" w:hAnsi="Times New Roman" w:eastAsia="仿宋"/>
          <w:b/>
          <w:bCs/>
          <w:color w:val="auto"/>
          <w:sz w:val="32"/>
          <w:szCs w:val="32"/>
        </w:rPr>
        <w:t>新业态，建设智慧城市</w:t>
      </w:r>
      <w:r>
        <w:rPr>
          <w:rFonts w:hint="eastAsia" w:ascii="Times New Roman" w:hAnsi="Times New Roman" w:eastAsia="仿宋"/>
          <w:b/>
          <w:bCs/>
          <w:color w:val="auto"/>
          <w:sz w:val="32"/>
          <w:szCs w:val="32"/>
          <w:lang w:val="en-US" w:eastAsia="zh-CN"/>
        </w:rPr>
        <w:t>新</w:t>
      </w:r>
      <w:r>
        <w:rPr>
          <w:rFonts w:hint="eastAsia" w:ascii="Times New Roman" w:hAnsi="Times New Roman" w:eastAsia="仿宋"/>
          <w:b/>
          <w:bCs/>
          <w:color w:val="auto"/>
          <w:sz w:val="32"/>
          <w:szCs w:val="32"/>
          <w:lang w:val="en-US" w:eastAsia="zh-CN"/>
        </w:rPr>
        <w:t>标杆</w:t>
      </w:r>
      <w:bookmarkEnd w:id="9"/>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聚焦交通、环境、安全等场景，运用大数据、云计算、人工智能等手段推进城市治理现代化，以温暖科技赋能生活的方方面面，使基础设施更加智能、公共服务更加便捷、城市管理更加精细，提高城市智能感知能力和运行保障水平。</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1.利用大数据推进智慧城市管理</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实施生活垃圾回收网点和分拣中心建设项目，推广应用“互联网+绿色回收”新模式和便捷的交投方式接受公众交投再生资源，构建“城镇社区回收网点、区域分拣中心和交易市场”为主线的再生资源回收利用网络体系，形成完善的“回收、分拣、利用”循环产业链和先进的回收、运输、处理、利用体系。</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实施县城智慧化改造与安全防护体系项目、大数据智慧监控系统和应急通信指挥调度系统建设项目，实现视频监控系统大数据化和AI智慧化，从“看得见、看得清”向“看得准、智慧化”转变，保障紧急状态下的卫星图像传输和通信指挥调度能力。通过社会治安防控体系建设示范城市创建项目，在医院、公交、学校等人员密集场所，安装人像识别、一键报警、视频监控、前端采集等智能系统，通过在县城100余个新建、老旧小区安装人脸识别、车牌识别、物联网等设备，实现对小区人员、车辆等信息全要素覆盖。实施雪亮工程建设项目二期工程，将村级前端监控扩大到行政村下的各自然庄，增加公共点位智能人像抓拍、卡口、微卡口等智慧摄像机安装，加大安装密度，剩余的109个行政村全部安装综治视联设备，并配套建设云平台视图库扩容、人像大数据应用系统、AR全景指挥系统、社会资源整合平台、立体化防控系统、综治视联设备等后台系统，实现联网应用，互联互通。</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实施地质灾害监测预警平台建设项目，建设全县范围内的踩空塌陷区、滑坡、泥石流等地质灾害监测预警系统，搭建平台、安装仪器、后期运行及维护，地质灾害点排查。实施智慧水利工程，推动河长制无人机巡河巡查工作项目、水土流失无人机监测项目、全县用水计量设施在线监测平台、山洪预警平台的建设，实现可视化操作。推进环县城园林智慧监控及消防系统建设项目，建立远程消防监控及灭火系统。实施5G+国土空间规划信息平台建设项目，建立国土空间基础信息平台。推进公检法一体化智能办案中心建设项目，建设综合智慧执法办案管理中心、公检法司一体化闭环式智慧综合物证管理中心、心理辅导室、社会帮教服务中心、标准化律师会见室、体检救护中心和速裁法庭等，并与上级公安机关联网运行，实现严格规范文明办案。</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2.构建智慧安全出行环境</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聚焦交通设施改造升级和智慧交通管控平台建设，围绕交通综合指挥中心、公安交警智能交通管控平台、农村路口“一灯一带”、重点车辆驾驶人危险驾驶行为实时预警、交通违法智能AI解析、交管大数据融合、分析研判平台、交通便民出行平台、重点场所路段电警点位建设等工程，推动大数据、云计算、人工智能等技术在交通综合治理中的应用，实现全县交通管理智慧化。</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3.新技术赋能政务提升效率</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聚焦政务服务“全程网办、全网通办”，推动区块链、人工智能、大数据等技术创新应用。深化政务服务“一网通办”改革，升级一体化在线政务服务平台，优化统一申办受理，推动线上政务服务全程电子化。建设完善电子证照、电子印章、电子档案系统，支持企业电子印章推广使用，最大限度实现企业和市民办事“无纸化”。依托市民服务热线数据，加强人工智能、大数据、区块链等技术在“接诉即办”中的应用。</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r>
        <w:rPr>
          <w:rFonts w:hint="eastAsia" w:ascii="Times New Roman" w:hAnsi="Times New Roman" w:eastAsia="仿宋" w:cstheme="minorBidi"/>
          <w:color w:val="auto"/>
          <w:kern w:val="2"/>
          <w:sz w:val="32"/>
          <w:szCs w:val="32"/>
        </w:rPr>
        <w:t>通过智慧城市展馆建设项目，搭建政府规划决策与社会各界沟通的桥梁。通过互联网+不动产综合服务平台建设项目，建设网上“一窗办事”平台、升级改造不动产登记系统、完善扩展信息共享集成，为企业和群众提供多渠道、多形式的不动产登记便捷化网上服务。</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6"/>
              <w:ind w:left="0" w:leftChars="0" w:firstLine="0" w:firstLineChars="0"/>
              <w:jc w:val="center"/>
              <w:rPr>
                <w:rFonts w:ascii="Times New Roman" w:hAnsi="Times New Roman" w:eastAsia="仿宋" w:cs="仿宋"/>
                <w:b/>
                <w:bCs/>
                <w:color w:val="auto"/>
                <w:kern w:val="0"/>
                <w:sz w:val="28"/>
                <w:szCs w:val="28"/>
              </w:rPr>
            </w:pPr>
            <w:r>
              <w:rPr>
                <w:rFonts w:hint="eastAsia" w:ascii="Times New Roman" w:hAnsi="Times New Roman" w:eastAsia="仿宋" w:cs="仿宋"/>
                <w:b/>
                <w:bCs/>
                <w:color w:val="auto"/>
                <w:kern w:val="0"/>
                <w:sz w:val="28"/>
                <w:szCs w:val="28"/>
              </w:rPr>
              <w:t>专栏1  智慧城市</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雪亮工程建设项目二期工程。在一期工程基础上，将村级前端监控扩大到行政村下的各自然庄，增加公共点位智能人像抓拍、卡口、微卡口等智慧摄像机安装，加大安装密度，剩余的109个行政村全部安装综治视联设备，并配套建设云平台视图库扩容、人像大数据应用系统、AR全景指挥系统、社会资源整合平台、立体化防控系统、综治视联设备等后台系统，实现联网应用，互联互通。</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生活垃圾回收网点和分拣中心建设项目。通过在住宅小区、机关、学校和企事业单位等场所设置统一标识的回收网点，推广应用“互联网+绿色回收”新模式和便捷的交投方式接受公众交投再生资源，构建“城镇社区回收网点、区域分拣中心和交易市场”为主线的再生资源回收利用网络体系，形成完善的“回收、分拣、利用”循环产业链和先进的回收、运输、处理、利用体系。</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县城智慧化改造与安全防护体系项目。办公区总建筑面积为1108.6㎡，大数据中心设备购置共计149台（套）：大数据中心建设包含服务器17台、存储设备3台、网络及安全设备46台、机柜65台、空调6台、UPS系统2套、视频融合平台1套、高清大屏展示系统1套、5G无人机应用系统1套、综治雪亮平台1套、空间地理信息平台系统1套、云计算平台1套、大数据平台1套、智慧城市使能平台1套、城市运营指挥平台1套、三维媒体展示平台1套等。</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大数据智慧监控系统和应急通信指挥调度系统建设项目。随着城市规划扩展同步推进公共场所治安视频监控系统建设，替换不符合公安部GB－35114标准的旧监控摄像机，建设跨镜头追踪系统、边缘计算平台和视图库，5G+智慧城管建设项目。1、系统软件建设：包括智慧城管核心应用系统、智慧城管扩展应用系统、综合执法管理系统、智慧环卫管理系统、智慧市政管理系统、渣土运输监管系统；2、基础数据普查及建库；3、硬件运行环境建设：包括指挥中心建设、12319呼叫中心建设、信息采集设备、配套硬件设备建设、网络及运行环境建设、办公设备及其他；4、系统设计、监理、系统运营内容等。</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5G+国土空间规划信息平台建设项目。项目整合自然资源局现有数据资料，采集发改、环保、住建、交通、农业、林业等部门信息，建立国土空间基础信息平台。</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社会治安防控体系建设示范城市创建项目。在医院、公交、学校等人员密集场所，安装人像识别、一键报警、视频监控、前端采集等智能系统，通过在县城100余个新建、老旧小区安装人脸识别、车牌识别、物联网等设备，实现对小区人员、车辆等信息全要素覆盖，然后将相关信息接回大数据平台，不断推进智慧城市建设。</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公检法一体化智能办案中心建设项目。建设符合上级要求的综合智慧执法办案管理中心、公检法司一体化闭环式智慧综合物证管理中心、心理辅导室、社会帮教服务中心、标准化律师会见室、体检救护中心和速裁法庭等，并与上级公安机关联网运行，实现严格规范文明办案。</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智慧交通管控平台建设项目。建设交通综合指挥中心、公安交警智能交通管控平台、农村路口“一灯一带”建设、重点车辆驾驶人危险驾驶行为实时预警、交通违法智能AI解析、交管大数据融合、分析研判平台、交通便民出行平台、重点场所路段电警点位建设等，实现全县交通管理智慧化</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智慧水利工程。包括河长制无人机巡河巡查工作项目，覆盖全县88条名录内河流；水土流失无人机监测；全县用水计量设施在线监测平台；山洪预警平台延伸至各乡镇，实现可视化操作。</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环县城园林智慧监控及消防系统建设项目。建立远程消防监控及灭火系统，覆盖环县城林地面积5000余亩。</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智慧城市展馆建设项目。建设国土空间数字化规划展馆，为城市规划精细化管理支撑，搭建政府规划决策与社会各界沟通的桥梁。</w:t>
            </w:r>
          </w:p>
          <w:p>
            <w:pPr>
              <w:pStyle w:val="16"/>
              <w:numPr>
                <w:ilvl w:val="0"/>
                <w:numId w:val="1"/>
              </w:numPr>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互联网+不动产综合服务平台建设项目。建设网上“一窗办事”平台、升级改造不动产登记系统、完善扩展信息共享集成，为企业和群众提供多渠道、多形式的不动产登记便捷化网上服务。</w:t>
            </w:r>
          </w:p>
          <w:p>
            <w:pPr>
              <w:pStyle w:val="16"/>
              <w:ind w:left="0" w:leftChars="0" w:firstLine="560"/>
              <w:rPr>
                <w:rFonts w:ascii="Times New Roman" w:hAnsi="Times New Roman" w:eastAsia="仿宋" w:cs="仿宋_GB2312"/>
                <w:color w:val="auto"/>
                <w:kern w:val="0"/>
                <w:sz w:val="24"/>
                <w:lang w:bidi="ar"/>
              </w:rPr>
            </w:pPr>
            <w:r>
              <w:rPr>
                <w:rFonts w:hint="eastAsia" w:ascii="Times New Roman" w:hAnsi="Times New Roman" w:eastAsia="仿宋" w:cs="仿宋_GB2312"/>
                <w:color w:val="auto"/>
                <w:kern w:val="0"/>
                <w:sz w:val="28"/>
                <w:szCs w:val="28"/>
                <w:lang w:bidi="ar"/>
              </w:rPr>
              <w:t>（13）地质灾害监测预警平台建设项目。建设全县范围内的踩空塌陷区、滑坡、泥石流等地质灾害监测预警系统，搭建平台、安装仪器、后期运行及维护，地质灾害点排查。</w:t>
            </w:r>
          </w:p>
        </w:tc>
      </w:tr>
    </w:tbl>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10" w:name="_Toc3547"/>
      <w:bookmarkStart w:id="11" w:name="_Toc30106"/>
      <w:bookmarkStart w:id="12" w:name="_Toc23424"/>
      <w:bookmarkStart w:id="13" w:name="_Toc11700"/>
      <w:r>
        <w:rPr>
          <w:rFonts w:hint="eastAsia" w:ascii="Times New Roman" w:hAnsi="Times New Roman" w:eastAsia="仿宋"/>
          <w:b/>
          <w:bCs/>
          <w:color w:val="auto"/>
          <w:sz w:val="32"/>
          <w:szCs w:val="32"/>
        </w:rPr>
        <w:t>（二）</w:t>
      </w:r>
      <w:r>
        <w:rPr>
          <w:rFonts w:hint="eastAsia" w:ascii="Times New Roman" w:hAnsi="Times New Roman" w:eastAsia="仿宋"/>
          <w:b/>
          <w:bCs/>
          <w:color w:val="auto"/>
          <w:sz w:val="32"/>
          <w:szCs w:val="32"/>
          <w:lang w:val="en-US" w:eastAsia="zh-CN"/>
        </w:rPr>
        <w:t>发展</w:t>
      </w:r>
      <w:r>
        <w:rPr>
          <w:rFonts w:hint="eastAsia" w:ascii="Times New Roman" w:hAnsi="Times New Roman" w:eastAsia="仿宋"/>
          <w:b/>
          <w:bCs/>
          <w:color w:val="auto"/>
          <w:sz w:val="32"/>
          <w:szCs w:val="32"/>
        </w:rPr>
        <w:t>智能制造新业态，引领工业</w:t>
      </w:r>
      <w:r>
        <w:rPr>
          <w:rFonts w:hint="eastAsia" w:ascii="Times New Roman" w:hAnsi="Times New Roman" w:eastAsia="仿宋"/>
          <w:b/>
          <w:bCs/>
          <w:color w:val="auto"/>
          <w:sz w:val="32"/>
          <w:szCs w:val="32"/>
          <w:lang w:val="en-US" w:eastAsia="zh-CN"/>
        </w:rPr>
        <w:t>转型促升级</w:t>
      </w:r>
      <w:bookmarkEnd w:id="10"/>
    </w:p>
    <w:p>
      <w:pPr>
        <w:ind w:firstLine="600" w:firstLineChars="200"/>
        <w:rPr>
          <w:rFonts w:ascii="Times New Roman" w:hAnsi="Times New Roman" w:eastAsia="仿宋"/>
          <w:color w:val="auto"/>
          <w:sz w:val="30"/>
          <w:szCs w:val="30"/>
        </w:rPr>
      </w:pPr>
      <w:r>
        <w:rPr>
          <w:rFonts w:ascii="Times New Roman" w:hAnsi="Times New Roman" w:eastAsia="仿宋" w:cs="仿宋_GB2312"/>
          <w:color w:val="auto"/>
          <w:kern w:val="0"/>
          <w:sz w:val="30"/>
          <w:szCs w:val="30"/>
          <w:lang w:bidi="ar"/>
        </w:rPr>
        <w:t>深化人工智能、5G等新一代技术在</w:t>
      </w:r>
      <w:r>
        <w:rPr>
          <w:rFonts w:hint="eastAsia" w:ascii="Times New Roman" w:hAnsi="Times New Roman" w:eastAsia="仿宋" w:cs="仿宋_GB2312"/>
          <w:color w:val="auto"/>
          <w:kern w:val="0"/>
          <w:sz w:val="30"/>
          <w:szCs w:val="30"/>
          <w:lang w:bidi="ar"/>
        </w:rPr>
        <w:t>制造</w:t>
      </w:r>
      <w:r>
        <w:rPr>
          <w:rFonts w:ascii="Times New Roman" w:hAnsi="Times New Roman" w:eastAsia="仿宋" w:cs="仿宋_GB2312"/>
          <w:color w:val="auto"/>
          <w:kern w:val="0"/>
          <w:sz w:val="30"/>
          <w:szCs w:val="30"/>
          <w:lang w:bidi="ar"/>
        </w:rPr>
        <w:t>领域的规模化应用，</w:t>
      </w:r>
      <w:r>
        <w:rPr>
          <w:rFonts w:hint="eastAsia" w:ascii="Times New Roman" w:hAnsi="Times New Roman" w:eastAsia="仿宋"/>
          <w:color w:val="auto"/>
          <w:sz w:val="30"/>
          <w:szCs w:val="30"/>
        </w:rPr>
        <w:t>试点建设数字化车间/智能工厂，加快推动云计算、物联网、智能工业机器人等技术在生产过程中的应用，推进生产装备智能化升级、工艺流程改造和基础数据共享。</w:t>
      </w:r>
    </w:p>
    <w:p>
      <w:pPr>
        <w:ind w:firstLine="600" w:firstLineChars="200"/>
        <w:rPr>
          <w:rFonts w:ascii="Times New Roman" w:hAnsi="Times New Roman" w:eastAsia="仿宋"/>
          <w:color w:val="auto"/>
          <w:sz w:val="30"/>
          <w:szCs w:val="30"/>
        </w:rPr>
      </w:pPr>
      <w:r>
        <w:rPr>
          <w:rFonts w:hint="eastAsia" w:ascii="Times New Roman" w:hAnsi="Times New Roman" w:eastAsia="仿宋"/>
          <w:color w:val="auto"/>
          <w:sz w:val="30"/>
          <w:szCs w:val="30"/>
        </w:rPr>
        <w:t>整合和利用现有制造资源，建设云制造平台和服务平台，在线提供关键工业软件及各类模型库和制造能力外包服务，服务中小企业智能化发展。面向企业智能制造发展需求，推动装备、自动化、软件、信息技术等不同领域企业紧密合作、协同创新，推动产业链各环节企业分工协作、共同发展，逐步形成以智能制造系统集成商为核心、各领域领先企业联合推进、一大批定位于细分领域的“专精特”企业深度参与的智能制造发展生态体系。</w:t>
      </w:r>
    </w:p>
    <w:p>
      <w:pPr>
        <w:ind w:firstLine="600" w:firstLineChars="200"/>
        <w:rPr>
          <w:rFonts w:ascii="Times New Roman" w:hAnsi="Times New Roman" w:eastAsia="仿宋" w:cs="宋体"/>
          <w:color w:val="auto"/>
          <w:sz w:val="30"/>
          <w:szCs w:val="30"/>
        </w:rPr>
      </w:pPr>
      <w:r>
        <w:rPr>
          <w:rFonts w:hint="eastAsia" w:ascii="Times New Roman" w:hAnsi="Times New Roman" w:eastAsia="仿宋" w:cs="宋体"/>
          <w:color w:val="auto"/>
          <w:sz w:val="30"/>
          <w:szCs w:val="30"/>
        </w:rPr>
        <w:t>顺应“互联网+”发展趋势，以高端化、智能化、绿色化、服务化为方向，推动制造业优化升级。</w:t>
      </w:r>
      <w:r>
        <w:rPr>
          <w:rFonts w:hint="eastAsia" w:ascii="Times New Roman" w:hAnsi="Times New Roman" w:eastAsia="仿宋"/>
          <w:bCs/>
          <w:color w:val="auto"/>
          <w:sz w:val="30"/>
          <w:szCs w:val="30"/>
        </w:rPr>
        <w:t>针对制造业关键工序自动化、数字化改造需求，推广应用数字化技术、系统集成技术、智能制造装备，提高设计、制造、工艺、管理水平，努力提升发展层次，推动制造业由劳动密集型转向科技型，重点培育壮大蚕桑、轻工、材料、装备制造、纺织等五大产业板块的现代制造业，打造新型现代制造业生产基地。</w:t>
      </w:r>
    </w:p>
    <w:p>
      <w:pPr>
        <w:spacing w:line="600" w:lineRule="exact"/>
        <w:ind w:firstLine="600" w:firstLineChars="200"/>
        <w:rPr>
          <w:rFonts w:ascii="Times New Roman" w:hAnsi="Times New Roman" w:eastAsia="仿宋" w:cs="宋体"/>
          <w:color w:val="auto"/>
          <w:sz w:val="30"/>
          <w:szCs w:val="30"/>
        </w:rPr>
      </w:pPr>
      <w:r>
        <w:rPr>
          <w:rFonts w:hint="eastAsia" w:ascii="Times New Roman" w:hAnsi="Times New Roman" w:eastAsia="仿宋" w:cs="宋体"/>
          <w:color w:val="auto"/>
          <w:sz w:val="30"/>
          <w:szCs w:val="30"/>
        </w:rPr>
        <w:t>以建设陶瓷研发中心为突破点、以龙头企业为引领，以具有特殊功能的建筑陶瓷和特种陶瓷产品为发展方向，通过扶优扶强、引进创新、品牌建设和文化内涵提升，全面拓展技术服务、产业基地、资源综合利用、工业互联网、商贸旅游、会展、物流等陶瓷生产性服务新业态，提升产品附加值，促进建筑陶瓷产业由低端向高端转化，全面提升阳城陶瓷产业体系结构和核心竞争力，推动创新式、内涵式、高质量发展，打造产业结构优异、技术水平先进、产业链条完善、生态环境绿色的中国北方陶瓷产业基地。</w:t>
      </w:r>
    </w:p>
    <w:p>
      <w:pPr>
        <w:spacing w:line="600" w:lineRule="exact"/>
        <w:ind w:firstLine="600" w:firstLineChars="200"/>
        <w:rPr>
          <w:rFonts w:ascii="Times New Roman" w:hAnsi="Times New Roman" w:eastAsia="仿宋" w:cs="宋体"/>
          <w:color w:val="auto"/>
          <w:sz w:val="30"/>
          <w:szCs w:val="30"/>
        </w:rPr>
      </w:pPr>
      <w:r>
        <w:rPr>
          <w:rFonts w:hint="eastAsia" w:ascii="Times New Roman" w:hAnsi="Times New Roman" w:eastAsia="仿宋" w:cs="宋体"/>
          <w:color w:val="auto"/>
          <w:sz w:val="30"/>
          <w:szCs w:val="30"/>
        </w:rPr>
        <w:t>加快推进以企业为主体，市场为导向，产学研相结合的轻工食品创新体系建设，促进基础性平台建设；重点支持阳城大麻纺织、服装服饰、皇城蜜酒、征弘食品、花烂漫饮品、源源醋业等特色产业以及产业创新中心和创新平台建设，提升技术创新能力和产业化的水平，促进互联网、云计算、大数据在轻工食品业的应用。</w:t>
      </w:r>
    </w:p>
    <w:p>
      <w:pPr>
        <w:spacing w:line="600" w:lineRule="exact"/>
        <w:ind w:firstLine="600" w:firstLineChars="200"/>
        <w:rPr>
          <w:rFonts w:ascii="Times New Roman" w:hAnsi="Times New Roman" w:eastAsia="仿宋"/>
          <w:color w:val="auto"/>
          <w:sz w:val="30"/>
          <w:szCs w:val="30"/>
        </w:rPr>
      </w:pPr>
      <w:r>
        <w:rPr>
          <w:rFonts w:hint="eastAsia" w:ascii="Times New Roman" w:hAnsi="Times New Roman" w:eastAsia="仿宋" w:cs="宋体"/>
          <w:color w:val="auto"/>
          <w:sz w:val="30"/>
          <w:szCs w:val="30"/>
        </w:rPr>
        <w:t>持续推广蚕桑“一棚两用”综合利用、省力化养蚕、自动上蔟等新技术，大力提倡集约化、专业化，智能化等现代养蚕，确保蚕农收入稳步增长。重点</w:t>
      </w:r>
      <w:r>
        <w:rPr>
          <w:rFonts w:hint="eastAsia" w:ascii="Times New Roman" w:hAnsi="Times New Roman" w:eastAsia="仿宋" w:cs="宋体"/>
          <w:color w:val="auto"/>
          <w:sz w:val="30"/>
          <w:szCs w:val="30"/>
          <w:shd w:val="clear" w:color="auto" w:fill="FFFFFF"/>
          <w:lang w:bidi="ar"/>
        </w:rPr>
        <w:t>实施蚕桑部落田园综合体项目，着力构建缫丝织被、育菌制茶、蚕丝深加工等全产业链，推动禹伽豪制丝、永丰源发展，</w:t>
      </w:r>
      <w:r>
        <w:rPr>
          <w:rFonts w:hint="eastAsia" w:ascii="Times New Roman" w:hAnsi="Times New Roman" w:eastAsia="仿宋" w:cs="宋体"/>
          <w:color w:val="auto"/>
          <w:sz w:val="30"/>
          <w:szCs w:val="30"/>
        </w:rPr>
        <w:t>大力发展蚕丝制品、丝绸服饰等加工业、</w:t>
      </w:r>
      <w:r>
        <w:rPr>
          <w:rFonts w:hint="eastAsia" w:ascii="Times New Roman" w:hAnsi="Times New Roman" w:eastAsia="仿宋" w:cs="宋体"/>
          <w:color w:val="auto"/>
          <w:sz w:val="30"/>
          <w:szCs w:val="30"/>
          <w:shd w:val="clear" w:color="auto" w:fill="FFFFFF"/>
          <w:lang w:bidi="ar"/>
        </w:rPr>
        <w:t>鲜蛹及副产品的深加工，</w:t>
      </w:r>
      <w:r>
        <w:rPr>
          <w:rFonts w:hint="eastAsia" w:ascii="Times New Roman" w:hAnsi="Times New Roman" w:eastAsia="仿宋" w:cs="宋体"/>
          <w:color w:val="auto"/>
          <w:sz w:val="30"/>
          <w:szCs w:val="30"/>
        </w:rPr>
        <w:t>延长产业链条，推动蚕桑产业向高端艺术品发展。</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14" w:name="_Toc13106"/>
      <w:r>
        <w:rPr>
          <w:rFonts w:hint="eastAsia" w:ascii="Times New Roman" w:hAnsi="Times New Roman" w:eastAsia="仿宋"/>
          <w:b/>
          <w:bCs/>
          <w:color w:val="auto"/>
          <w:sz w:val="32"/>
          <w:szCs w:val="32"/>
        </w:rPr>
        <w:t>（三）</w:t>
      </w:r>
      <w:r>
        <w:rPr>
          <w:rFonts w:hint="eastAsia" w:ascii="Times New Roman" w:hAnsi="Times New Roman" w:eastAsia="仿宋"/>
          <w:b/>
          <w:bCs/>
          <w:color w:val="auto"/>
          <w:sz w:val="32"/>
          <w:szCs w:val="32"/>
          <w:lang w:val="en-US" w:eastAsia="zh-CN"/>
        </w:rPr>
        <w:t>把握现代</w:t>
      </w:r>
      <w:r>
        <w:rPr>
          <w:rFonts w:hint="eastAsia" w:ascii="Times New Roman" w:hAnsi="Times New Roman" w:eastAsia="仿宋"/>
          <w:b/>
          <w:bCs/>
          <w:color w:val="auto"/>
          <w:sz w:val="32"/>
          <w:szCs w:val="32"/>
        </w:rPr>
        <w:t>物流新业态，助力实体经济</w:t>
      </w:r>
      <w:r>
        <w:rPr>
          <w:rFonts w:hint="eastAsia" w:ascii="Times New Roman" w:hAnsi="Times New Roman" w:eastAsia="仿宋"/>
          <w:b/>
          <w:bCs/>
          <w:color w:val="auto"/>
          <w:sz w:val="32"/>
          <w:szCs w:val="32"/>
          <w:lang w:val="en-US" w:eastAsia="zh-CN"/>
        </w:rPr>
        <w:t>大</w:t>
      </w:r>
      <w:r>
        <w:rPr>
          <w:rFonts w:hint="eastAsia" w:ascii="Times New Roman" w:hAnsi="Times New Roman" w:eastAsia="仿宋"/>
          <w:b/>
          <w:bCs/>
          <w:color w:val="auto"/>
          <w:sz w:val="32"/>
          <w:szCs w:val="32"/>
        </w:rPr>
        <w:t>发展</w:t>
      </w:r>
      <w:bookmarkEnd w:id="14"/>
    </w:p>
    <w:bookmarkEnd w:id="11"/>
    <w:bookmarkEnd w:id="12"/>
    <w:bookmarkEnd w:id="13"/>
    <w:p>
      <w:pPr>
        <w:spacing w:line="600" w:lineRule="exact"/>
        <w:ind w:firstLine="600" w:firstLineChars="200"/>
        <w:rPr>
          <w:rFonts w:ascii="Times New Roman" w:hAnsi="Times New Roman" w:eastAsia="仿宋" w:cs="宋体"/>
          <w:color w:val="auto"/>
          <w:sz w:val="30"/>
          <w:szCs w:val="30"/>
          <w:shd w:val="clear" w:color="auto" w:fill="FFFFFF"/>
          <w:lang w:bidi="ar"/>
        </w:rPr>
      </w:pPr>
      <w:r>
        <w:rPr>
          <w:rFonts w:hint="eastAsia" w:ascii="Times New Roman" w:hAnsi="Times New Roman" w:eastAsia="仿宋" w:cs="宋体"/>
          <w:color w:val="auto"/>
          <w:sz w:val="30"/>
          <w:szCs w:val="30"/>
          <w:shd w:val="clear" w:color="auto" w:fill="FFFFFF"/>
          <w:lang w:bidi="ar"/>
        </w:rPr>
        <w:t>推动“互联网+”物流创新工程，推进现代流通供应链建设，鼓励企业加大5G、人工智能等技术在商贸物流设施的应用，支持相关信息化配套设施建设，发展共同配送、无接触配送等末端配送新模式。</w:t>
      </w:r>
    </w:p>
    <w:p>
      <w:pPr>
        <w:spacing w:line="600" w:lineRule="exact"/>
        <w:ind w:firstLine="602" w:firstLineChars="200"/>
        <w:rPr>
          <w:rFonts w:ascii="Times New Roman" w:hAnsi="Times New Roman" w:eastAsia="仿宋" w:cs="宋体"/>
          <w:b/>
          <w:bCs/>
          <w:color w:val="auto"/>
          <w:sz w:val="30"/>
          <w:szCs w:val="30"/>
          <w:shd w:val="clear" w:color="auto" w:fill="FFFFFF"/>
          <w:lang w:bidi="ar"/>
        </w:rPr>
      </w:pPr>
      <w:r>
        <w:rPr>
          <w:rFonts w:hint="eastAsia" w:ascii="Times New Roman" w:hAnsi="Times New Roman" w:eastAsia="仿宋" w:cs="宋体"/>
          <w:b/>
          <w:bCs/>
          <w:color w:val="auto"/>
          <w:sz w:val="30"/>
          <w:szCs w:val="30"/>
          <w:shd w:val="clear" w:color="auto" w:fill="FFFFFF"/>
          <w:lang w:bidi="ar"/>
        </w:rPr>
        <w:t>1.建设</w:t>
      </w:r>
      <w:r>
        <w:rPr>
          <w:rFonts w:hint="eastAsia" w:ascii="Times New Roman" w:hAnsi="Times New Roman" w:eastAsia="仿宋" w:cs="宋体"/>
          <w:b/>
          <w:bCs/>
          <w:color w:val="auto"/>
          <w:sz w:val="30"/>
          <w:szCs w:val="30"/>
          <w:shd w:val="clear" w:color="auto" w:fill="FFFFFF"/>
          <w:lang w:val="en-US" w:eastAsia="zh-CN" w:bidi="ar"/>
        </w:rPr>
        <w:t>现代</w:t>
      </w:r>
      <w:r>
        <w:rPr>
          <w:rFonts w:hint="eastAsia" w:ascii="Times New Roman" w:hAnsi="Times New Roman" w:eastAsia="仿宋" w:cs="宋体"/>
          <w:b/>
          <w:bCs/>
          <w:color w:val="auto"/>
          <w:sz w:val="30"/>
          <w:szCs w:val="30"/>
          <w:shd w:val="clear" w:color="auto" w:fill="FFFFFF"/>
          <w:lang w:bidi="ar"/>
        </w:rPr>
        <w:t>物流园区</w:t>
      </w:r>
    </w:p>
    <w:p>
      <w:pPr>
        <w:spacing w:line="600" w:lineRule="exact"/>
        <w:ind w:firstLine="600" w:firstLineChars="200"/>
        <w:rPr>
          <w:rFonts w:ascii="Times New Roman" w:hAnsi="Times New Roman" w:eastAsia="仿宋" w:cs="宋体"/>
          <w:color w:val="auto"/>
          <w:sz w:val="30"/>
          <w:szCs w:val="30"/>
          <w:shd w:val="clear" w:color="auto" w:fill="FFFFFF"/>
          <w:lang w:bidi="ar"/>
        </w:rPr>
      </w:pPr>
      <w:r>
        <w:rPr>
          <w:rFonts w:hint="eastAsia" w:ascii="Times New Roman" w:hAnsi="Times New Roman" w:eastAsia="仿宋" w:cs="宋体"/>
          <w:color w:val="auto"/>
          <w:sz w:val="30"/>
          <w:szCs w:val="30"/>
          <w:shd w:val="clear" w:color="auto" w:fill="FFFFFF"/>
          <w:lang w:bidi="ar"/>
        </w:rPr>
        <w:t>通过对太行现代物流产业园基础设施改造升级以及实施凤南智慧物流园区建设项目，建设公共物流信息平台和仓储配送设备，充分利用物联网、“互联网+”等现代信息技术，不断提高传统物流企业的信息化水平，为传统物流企业向现代化贸易模式转型提供技术支撑。充分利用八甲口园区优越的地理位置和交通条件，依托侯月铁路、县集运站等，着力布局现代物流服务产业，发展仓储、运输、配送、流通、加工、服务和商贸于一体的现代物流产业。</w:t>
      </w:r>
    </w:p>
    <w:p>
      <w:pPr>
        <w:spacing w:line="600" w:lineRule="exact"/>
        <w:ind w:firstLine="602" w:firstLineChars="200"/>
        <w:rPr>
          <w:rFonts w:ascii="Times New Roman" w:hAnsi="Times New Roman" w:eastAsia="仿宋" w:cs="宋体"/>
          <w:b/>
          <w:bCs/>
          <w:color w:val="auto"/>
          <w:sz w:val="30"/>
          <w:szCs w:val="30"/>
          <w:shd w:val="clear" w:color="auto" w:fill="FFFFFF"/>
          <w:lang w:bidi="ar"/>
        </w:rPr>
      </w:pPr>
      <w:r>
        <w:rPr>
          <w:rFonts w:hint="eastAsia" w:ascii="Times New Roman" w:hAnsi="Times New Roman" w:eastAsia="仿宋" w:cs="宋体"/>
          <w:b/>
          <w:bCs/>
          <w:color w:val="auto"/>
          <w:sz w:val="30"/>
          <w:szCs w:val="30"/>
          <w:shd w:val="clear" w:color="auto" w:fill="FFFFFF"/>
          <w:lang w:bidi="ar"/>
        </w:rPr>
        <w:t>2.完善电子商务服务平台</w:t>
      </w:r>
    </w:p>
    <w:p>
      <w:pPr>
        <w:spacing w:line="600" w:lineRule="exact"/>
        <w:ind w:firstLine="600" w:firstLineChars="200"/>
        <w:rPr>
          <w:rFonts w:ascii="Times New Roman" w:hAnsi="Times New Roman" w:eastAsia="仿宋"/>
          <w:color w:val="auto"/>
          <w:sz w:val="30"/>
          <w:szCs w:val="30"/>
        </w:rPr>
      </w:pPr>
      <w:r>
        <w:rPr>
          <w:rFonts w:hint="eastAsia" w:ascii="Times New Roman" w:hAnsi="Times New Roman" w:eastAsia="仿宋" w:cs="宋体"/>
          <w:color w:val="auto"/>
          <w:sz w:val="30"/>
          <w:szCs w:val="30"/>
          <w:shd w:val="clear" w:color="auto" w:fill="FFFFFF"/>
          <w:lang w:bidi="ar"/>
        </w:rPr>
        <w:t>提升县级电子商务服务平台，改造镇、村电商物流服务站点，</w:t>
      </w:r>
      <w:r>
        <w:rPr>
          <w:rFonts w:ascii="Times New Roman" w:hAnsi="Times New Roman" w:eastAsia="仿宋" w:cs="仿宋"/>
          <w:color w:val="auto"/>
          <w:kern w:val="0"/>
          <w:sz w:val="30"/>
          <w:szCs w:val="30"/>
          <w:lang w:bidi="ar"/>
        </w:rPr>
        <w:t>建设一个功能相对完善、设施齐备的阳城县智能电子商务仓储物流配送中心，提速农村城镇化进程，承载全县农产品上行和工业品下乡等双向流通功能，服务农业和旅游业等支柱产业发展，加快农民脱贫致富，推动产业、物流、商贸全面繁荣。</w:t>
      </w:r>
      <w:r>
        <w:rPr>
          <w:rFonts w:hint="eastAsia" w:ascii="Times New Roman" w:hAnsi="Times New Roman" w:eastAsia="仿宋" w:cs="仿宋"/>
          <w:color w:val="auto"/>
          <w:kern w:val="0"/>
          <w:sz w:val="30"/>
          <w:szCs w:val="30"/>
          <w:lang w:bidi="ar"/>
        </w:rPr>
        <w:t>升级改造或建设</w:t>
      </w:r>
      <w:r>
        <w:rPr>
          <w:rFonts w:hint="eastAsia" w:ascii="Times New Roman" w:hAnsi="Times New Roman" w:eastAsia="仿宋" w:cs="仿宋"/>
          <w:color w:val="auto"/>
          <w:kern w:val="0"/>
          <w:sz w:val="30"/>
          <w:szCs w:val="30"/>
          <w:lang w:bidi="ar"/>
        </w:rPr>
        <w:t>1</w:t>
      </w:r>
      <w:r>
        <w:rPr>
          <w:rFonts w:hint="eastAsia" w:ascii="Times New Roman" w:hAnsi="Times New Roman" w:eastAsia="仿宋" w:cs="仿宋"/>
          <w:color w:val="auto"/>
          <w:kern w:val="0"/>
          <w:sz w:val="30"/>
          <w:szCs w:val="30"/>
          <w:lang w:val="en-US" w:eastAsia="zh-CN" w:bidi="ar"/>
        </w:rPr>
        <w:t>5</w:t>
      </w:r>
      <w:r>
        <w:rPr>
          <w:rFonts w:hint="eastAsia" w:ascii="Times New Roman" w:hAnsi="Times New Roman" w:eastAsia="仿宋" w:cs="仿宋"/>
          <w:color w:val="auto"/>
          <w:kern w:val="0"/>
          <w:sz w:val="30"/>
          <w:szCs w:val="30"/>
          <w:lang w:bidi="ar"/>
        </w:rPr>
        <w:t>个乡（镇）电子商务服务站，全县行政村的电商服务覆盖率达到70%以上。</w:t>
      </w:r>
      <w:r>
        <w:rPr>
          <w:rFonts w:hint="eastAsia" w:ascii="Times New Roman" w:hAnsi="Times New Roman" w:eastAsia="仿宋" w:cs="宋体"/>
          <w:color w:val="auto"/>
          <w:sz w:val="30"/>
          <w:szCs w:val="30"/>
          <w:shd w:val="clear" w:color="auto" w:fill="FFFFFF"/>
          <w:lang w:bidi="ar"/>
        </w:rPr>
        <w:t>小区、社区布设不同类型的智能快件箱，提供便捷安全的“最后100米”服务等。</w:t>
      </w:r>
    </w:p>
    <w:p>
      <w:pPr>
        <w:spacing w:line="600" w:lineRule="exact"/>
        <w:ind w:firstLine="602" w:firstLineChars="200"/>
        <w:rPr>
          <w:rFonts w:ascii="Times New Roman" w:hAnsi="Times New Roman" w:eastAsia="仿宋" w:cs="宋体"/>
          <w:b/>
          <w:bCs/>
          <w:color w:val="auto"/>
          <w:sz w:val="30"/>
          <w:szCs w:val="30"/>
          <w:shd w:val="clear" w:color="auto" w:fill="FFFFFF"/>
          <w:lang w:bidi="ar"/>
        </w:rPr>
      </w:pPr>
      <w:r>
        <w:rPr>
          <w:rFonts w:hint="eastAsia" w:ascii="Times New Roman" w:hAnsi="Times New Roman" w:eastAsia="仿宋" w:cs="宋体"/>
          <w:b/>
          <w:bCs/>
          <w:color w:val="auto"/>
          <w:sz w:val="30"/>
          <w:szCs w:val="30"/>
          <w:shd w:val="clear" w:color="auto" w:fill="FFFFFF"/>
          <w:lang w:bidi="ar"/>
        </w:rPr>
        <w:t>3.完善现代商贸流通体系</w:t>
      </w:r>
    </w:p>
    <w:p>
      <w:pPr>
        <w:widowControl/>
        <w:ind w:firstLine="600"/>
        <w:jc w:val="left"/>
        <w:rPr>
          <w:rFonts w:ascii="Times New Roman" w:hAnsi="Times New Roman" w:eastAsia="仿宋" w:cs="宋体"/>
          <w:color w:val="auto"/>
          <w:sz w:val="30"/>
          <w:szCs w:val="30"/>
          <w:shd w:val="clear" w:color="auto" w:fill="FFFFFF"/>
          <w:lang w:bidi="ar"/>
        </w:rPr>
      </w:pPr>
      <w:r>
        <w:rPr>
          <w:rFonts w:hint="eastAsia" w:ascii="Times New Roman" w:hAnsi="Times New Roman" w:eastAsia="仿宋" w:cs="宋体"/>
          <w:color w:val="auto"/>
          <w:sz w:val="30"/>
          <w:szCs w:val="30"/>
          <w:shd w:val="clear" w:color="auto" w:fill="FFFFFF"/>
          <w:lang w:bidi="ar"/>
        </w:rPr>
        <w:t>建立健全数字化商品流通体系，在城市、重点乡镇和中心村加快布局数字化消费网络，降低物流综合成本。实施配送村村通工程，提升电商、快递配送进农村综合水平，推动农村商贸流通转型升级。推动城乡冷链物流设施有机衔接，加快农产品分拨、包装、预冷等集配装备和分拨仓、前置仓等仓储设施建设，形成覆盖农产品生产、加工、运输、储存、销售等环节的全程冷链物流体系。</w:t>
      </w:r>
    </w:p>
    <w:p>
      <w:pPr>
        <w:spacing w:line="600" w:lineRule="exact"/>
        <w:ind w:firstLine="600" w:firstLineChars="200"/>
        <w:rPr>
          <w:rFonts w:ascii="Times New Roman" w:hAnsi="Times New Roman" w:eastAsia="仿宋" w:cs="宋体"/>
          <w:color w:val="auto"/>
          <w:sz w:val="30"/>
          <w:szCs w:val="30"/>
          <w:shd w:val="clear" w:color="auto" w:fill="FFFFFF"/>
          <w:lang w:bidi="ar"/>
        </w:rPr>
      </w:pPr>
      <w:r>
        <w:rPr>
          <w:rFonts w:hint="eastAsia" w:ascii="Times New Roman" w:hAnsi="Times New Roman" w:eastAsia="仿宋" w:cs="宋体"/>
          <w:color w:val="auto"/>
          <w:sz w:val="30"/>
          <w:szCs w:val="30"/>
          <w:shd w:val="clear" w:color="auto" w:fill="FFFFFF"/>
          <w:lang w:bidi="ar"/>
        </w:rPr>
        <w:t>建设农村智慧物流管理系统，实现物流企业、农产品货源信息、仓储基地和物流车辆流转信息实时抓取，统筹协调农村上下行物流资源，有效降低农村物流收派成本，使农村居民能够实时掌握包裹流转信息。进一步推进现代农产品批发市场、公益性批发市场的培育，发展农商对接，创新农产品流通模式，推动我县特色农产品上网，建立大宗农产品交易平台，发展农村电商。</w:t>
      </w:r>
    </w:p>
    <w:p>
      <w:pPr>
        <w:pStyle w:val="5"/>
        <w:ind w:firstLine="600"/>
        <w:rPr>
          <w:rFonts w:eastAsia="仿宋"/>
          <w:color w:val="auto"/>
        </w:rPr>
      </w:pPr>
      <w:r>
        <w:rPr>
          <w:rFonts w:hint="eastAsia" w:eastAsia="仿宋"/>
          <w:color w:val="auto"/>
          <w:sz w:val="30"/>
          <w:szCs w:val="30"/>
        </w:rPr>
        <w:t xml:space="preserve">支持商贸流通企业的数字化转型升级，加强传统企业与电子商务、金融保险、移动支付、就业引导等资源对接，促进业务流程和组织结构优化重组，实现线上线下融合发展，建立本地化、连锁化、信息化的商品流通网络。为企业提供必要的商务服务，帮助本地企业除了在提供有保障的产品与服务外，为 客户提供更多的体验，帮助企业完成传统生产加工企业到互联网企业的转换。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6"/>
              <w:ind w:left="0" w:leftChars="0" w:firstLine="0" w:firstLineChars="0"/>
              <w:jc w:val="center"/>
              <w:rPr>
                <w:rFonts w:ascii="Times New Roman" w:hAnsi="Times New Roman" w:eastAsia="仿宋" w:cs="仿宋"/>
                <w:b/>
                <w:bCs/>
                <w:color w:val="auto"/>
                <w:kern w:val="0"/>
                <w:sz w:val="28"/>
                <w:szCs w:val="28"/>
              </w:rPr>
            </w:pPr>
            <w:r>
              <w:rPr>
                <w:rFonts w:hint="eastAsia" w:ascii="Times New Roman" w:hAnsi="Times New Roman" w:eastAsia="仿宋" w:cs="仿宋"/>
                <w:b/>
                <w:bCs/>
                <w:color w:val="auto"/>
                <w:kern w:val="0"/>
                <w:sz w:val="28"/>
                <w:szCs w:val="28"/>
              </w:rPr>
              <w:t>专栏2  智慧物流</w:t>
            </w:r>
          </w:p>
          <w:p>
            <w:pPr>
              <w:pStyle w:val="16"/>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（1）对县级电子商务服务平台提升，仓储建设，镇、村电商物流服务站点改造，功能完善提升，配送设施配置；小区、社区布设不同类型的智能快件箱，提供便捷安全的“最后100米”服务等。</w:t>
            </w:r>
          </w:p>
          <w:p>
            <w:pPr>
              <w:pStyle w:val="16"/>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（2）太行现代物流产业园基础设施建设项目。项目占地面积147165㎡（220.6亩），总建筑面积307644.6㎡，包括新建1栋18层综合服务楼（配套服务设施、办公、酒店）、1栋6层大数据中心、 14栋4层仓储物流用房、6栋11层公寓楼、2栋3层商业公寓等；配套完善园区绿化、道路、硬化及园区内外给排水、强弱电、供暖、供气等管网工程。</w:t>
            </w:r>
          </w:p>
          <w:p>
            <w:pPr>
              <w:pStyle w:val="16"/>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（3）凤南智慧物流园区建设项目。占地面积200亩，建设年吞吐量20万吨的现代物流项目，包括物流仓储、物流运输、数字园区等。</w:t>
            </w:r>
          </w:p>
          <w:p>
            <w:pPr>
              <w:pStyle w:val="16"/>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（4）八甲口智能物流园建设项目。项目占地792亩，新建一条设计货运吞吐量为900万吨/年的货运专线，新建10万㎡的仓储物流基地，集运输、配送、物流、加工、服务和商贸一体综合性产业园。</w:t>
            </w:r>
          </w:p>
          <w:p>
            <w:pPr>
              <w:pStyle w:val="16"/>
              <w:ind w:left="0" w:leftChars="0" w:firstLine="560"/>
              <w:rPr>
                <w:rFonts w:hint="eastAsia"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（5）电商平台建设项目。建设5000㎡仓储库、建设电商平台办公场所及其他附属设施1000㎡、物流场所面积共3000㎡，购买物流车12辆。</w:t>
            </w:r>
          </w:p>
          <w:p>
            <w:pPr>
              <w:pStyle w:val="16"/>
              <w:ind w:left="0" w:leftChars="0" w:firstLine="560"/>
              <w:rPr>
                <w:rFonts w:hint="eastAsia" w:ascii="Times New Roman" w:hAnsi="Times New Roman" w:eastAsia="仿宋" w:cs="仿宋_GB2312"/>
                <w:color w:val="auto"/>
                <w:kern w:val="0"/>
                <w:sz w:val="28"/>
                <w:szCs w:val="28"/>
                <w:lang w:bidi="ar"/>
              </w:rPr>
            </w:pPr>
          </w:p>
        </w:tc>
      </w:tr>
    </w:tbl>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15" w:name="_Toc23094"/>
      <w:r>
        <w:rPr>
          <w:rFonts w:hint="eastAsia" w:ascii="Times New Roman" w:hAnsi="Times New Roman" w:eastAsia="仿宋"/>
          <w:b/>
          <w:bCs/>
          <w:color w:val="auto"/>
          <w:sz w:val="32"/>
          <w:szCs w:val="32"/>
        </w:rPr>
        <w:t>（四）创新</w:t>
      </w:r>
      <w:r>
        <w:rPr>
          <w:rFonts w:hint="eastAsia" w:ascii="Times New Roman" w:hAnsi="Times New Roman" w:eastAsia="仿宋"/>
          <w:b/>
          <w:bCs/>
          <w:color w:val="auto"/>
          <w:sz w:val="32"/>
          <w:szCs w:val="32"/>
          <w:lang w:val="en-US" w:eastAsia="zh-CN"/>
        </w:rPr>
        <w:t>特色</w:t>
      </w:r>
      <w:r>
        <w:rPr>
          <w:rFonts w:hint="eastAsia" w:ascii="Times New Roman" w:hAnsi="Times New Roman" w:eastAsia="仿宋"/>
          <w:b/>
          <w:bCs/>
          <w:color w:val="auto"/>
          <w:sz w:val="32"/>
          <w:szCs w:val="32"/>
        </w:rPr>
        <w:t>农业</w:t>
      </w:r>
      <w:r>
        <w:rPr>
          <w:rFonts w:hint="eastAsia" w:ascii="Times New Roman" w:hAnsi="Times New Roman" w:eastAsia="仿宋"/>
          <w:b/>
          <w:bCs/>
          <w:color w:val="auto"/>
          <w:sz w:val="32"/>
          <w:szCs w:val="32"/>
        </w:rPr>
        <w:t>新业态，</w:t>
      </w:r>
      <w:r>
        <w:rPr>
          <w:rFonts w:hint="eastAsia" w:ascii="Times New Roman" w:hAnsi="Times New Roman" w:eastAsia="仿宋"/>
          <w:b/>
          <w:bCs/>
          <w:color w:val="auto"/>
          <w:sz w:val="32"/>
          <w:szCs w:val="32"/>
          <w:lang w:val="en-US" w:eastAsia="zh-CN"/>
        </w:rPr>
        <w:t>铺就</w:t>
      </w:r>
      <w:r>
        <w:rPr>
          <w:rFonts w:hint="eastAsia" w:ascii="Times New Roman" w:hAnsi="Times New Roman" w:eastAsia="仿宋"/>
          <w:b/>
          <w:bCs/>
          <w:color w:val="auto"/>
          <w:sz w:val="32"/>
          <w:szCs w:val="32"/>
        </w:rPr>
        <w:t>乡村振兴</w:t>
      </w:r>
      <w:r>
        <w:rPr>
          <w:rFonts w:hint="eastAsia" w:ascii="Times New Roman" w:hAnsi="Times New Roman" w:eastAsia="仿宋"/>
          <w:b/>
          <w:bCs/>
          <w:color w:val="auto"/>
          <w:sz w:val="32"/>
          <w:szCs w:val="32"/>
          <w:lang w:val="en-US" w:eastAsia="zh-CN"/>
        </w:rPr>
        <w:t>康庄</w:t>
      </w:r>
      <w:r>
        <w:rPr>
          <w:rFonts w:hint="eastAsia" w:ascii="Times New Roman" w:hAnsi="Times New Roman" w:eastAsia="仿宋"/>
          <w:b/>
          <w:bCs/>
          <w:color w:val="auto"/>
          <w:sz w:val="32"/>
          <w:szCs w:val="32"/>
        </w:rPr>
        <w:t>路</w:t>
      </w:r>
      <w:bookmarkEnd w:id="15"/>
    </w:p>
    <w:p>
      <w:pPr>
        <w:ind w:firstLine="602" w:firstLineChars="200"/>
        <w:rPr>
          <w:rFonts w:ascii="Times New Roman" w:hAnsi="Times New Roman" w:eastAsia="仿宋"/>
          <w:b/>
          <w:bCs/>
          <w:color w:val="auto"/>
          <w:sz w:val="30"/>
          <w:szCs w:val="30"/>
        </w:rPr>
      </w:pPr>
      <w:r>
        <w:rPr>
          <w:rFonts w:hint="eastAsia" w:ascii="Times New Roman" w:hAnsi="Times New Roman" w:eastAsia="仿宋"/>
          <w:b/>
          <w:bCs/>
          <w:color w:val="auto"/>
          <w:sz w:val="30"/>
          <w:szCs w:val="30"/>
        </w:rPr>
        <w:t>1.构建新型农业生产经营体系</w:t>
      </w:r>
    </w:p>
    <w:p>
      <w:pPr>
        <w:ind w:firstLine="600" w:firstLineChars="200"/>
        <w:rPr>
          <w:rFonts w:ascii="Times New Roman" w:hAnsi="Times New Roman" w:eastAsia="仿宋"/>
          <w:color w:val="auto"/>
          <w:sz w:val="30"/>
          <w:szCs w:val="30"/>
        </w:rPr>
      </w:pPr>
      <w:r>
        <w:rPr>
          <w:rFonts w:hint="eastAsia" w:ascii="Times New Roman" w:hAnsi="Times New Roman" w:eastAsia="仿宋"/>
          <w:color w:val="auto"/>
          <w:sz w:val="30"/>
          <w:szCs w:val="30"/>
        </w:rPr>
        <w:t>鼓励互联网企业建立农业服务平台，支撑家庭农场、农民合作社、农业产业化龙头企业等新型农业生产经营主体，加强产销衔接，实现农业生产由生产导向向消费导向转变。提高农业生产经营的科技化、组织化和精细化水平，推进农业生产流通销售方式变革和农业发展方式转变，提升农业生产效率和增值空间。充分利用现有互联网资源，构建农副产品质量安全追溯公共服务平台，</w:t>
      </w:r>
      <w:r>
        <w:rPr>
          <w:rFonts w:ascii="Times New Roman" w:hAnsi="Times New Roman" w:eastAsia="仿宋"/>
          <w:color w:val="auto"/>
          <w:sz w:val="30"/>
          <w:szCs w:val="30"/>
        </w:rPr>
        <w:t>实现农特产品从生产、加工、流通、监管各个环节可以追溯，为本地农村产品开展溯源和质量认证提供服务，实现本地产品上网、二维码扫描、短信和触摸屏等方式溯源，提供农产品从生产源头到销售末端的完整原始数据或视频信息，促进标准化、规范化生产</w:t>
      </w:r>
      <w:r>
        <w:rPr>
          <w:rFonts w:hint="eastAsia" w:ascii="Times New Roman" w:hAnsi="Times New Roman" w:eastAsia="仿宋"/>
          <w:color w:val="auto"/>
          <w:sz w:val="30"/>
          <w:szCs w:val="30"/>
        </w:rPr>
        <w:t>，建立产地准出与市场准入衔接机制。</w:t>
      </w:r>
    </w:p>
    <w:p>
      <w:pPr>
        <w:ind w:firstLine="602" w:firstLineChars="200"/>
        <w:rPr>
          <w:rFonts w:ascii="Times New Roman" w:hAnsi="Times New Roman" w:eastAsia="仿宋"/>
          <w:b/>
          <w:bCs/>
          <w:color w:val="auto"/>
          <w:sz w:val="30"/>
          <w:szCs w:val="30"/>
        </w:rPr>
      </w:pPr>
      <w:r>
        <w:rPr>
          <w:rFonts w:hint="eastAsia" w:ascii="Times New Roman" w:hAnsi="Times New Roman" w:eastAsia="仿宋"/>
          <w:b/>
          <w:bCs/>
          <w:color w:val="auto"/>
          <w:sz w:val="30"/>
          <w:szCs w:val="30"/>
        </w:rPr>
        <w:t>2.发展精准化生产方式</w:t>
      </w:r>
    </w:p>
    <w:p>
      <w:pPr>
        <w:ind w:firstLine="600" w:firstLineChars="200"/>
        <w:rPr>
          <w:rFonts w:ascii="Times New Roman" w:hAnsi="Times New Roman" w:eastAsia="仿宋"/>
          <w:color w:val="auto"/>
          <w:sz w:val="30"/>
          <w:szCs w:val="30"/>
        </w:rPr>
      </w:pPr>
      <w:r>
        <w:rPr>
          <w:rFonts w:hint="eastAsia" w:ascii="Times New Roman" w:hAnsi="Times New Roman" w:eastAsia="仿宋"/>
          <w:color w:val="auto"/>
          <w:sz w:val="30"/>
          <w:szCs w:val="30"/>
        </w:rPr>
        <w:t>推广成熟可复制的农业物联网应用模式。在基础较好的领域和地区，普及基于环境感知、实时监测、自动控制的网络化农业环境监测系统。在大宗农产品规模生产区域，构建农业物联网测控体系，实施智能节水灌溉、测土配方施肥、农机定位耕种等精准化作业。在畜禽标准化规模养殖基地和水产健康养殖示范基地，推动饲料精准投放、疾病自动诊断、废弃物自动回收等智能设备的应用普及和互联互通。支持互联网企业与农业生产经营主体合作，综合利用大数据、云计算等技术，建立农业信息监测体系，为灾害预警、耕地质量监测、重大动植物疫情防控、市场波动预测、经营科学决策等提供服务。</w:t>
      </w:r>
    </w:p>
    <w:p>
      <w:pPr>
        <w:ind w:firstLine="600" w:firstLineChars="200"/>
        <w:rPr>
          <w:rFonts w:ascii="Times New Roman" w:hAnsi="Times New Roman" w:eastAsia="仿宋"/>
          <w:color w:val="auto"/>
          <w:sz w:val="30"/>
          <w:szCs w:val="30"/>
        </w:rPr>
      </w:pPr>
      <w:r>
        <w:rPr>
          <w:rFonts w:ascii="Times New Roman" w:hAnsi="Times New Roman" w:eastAsia="仿宋"/>
          <w:color w:val="auto"/>
          <w:sz w:val="30"/>
          <w:szCs w:val="30"/>
        </w:rPr>
        <w:t>建设改造预冷仓储中心、低温加工仓储配送中心、农产品网货加工中心，打造阳城县农产品初加工基地，购置包含包装设备、分拣设备等初加工设备及物料，将农特产品加工成为适合网络销售和快递运输的网货产品。</w:t>
      </w:r>
    </w:p>
    <w:p>
      <w:pPr>
        <w:ind w:firstLine="602" w:firstLineChars="200"/>
        <w:rPr>
          <w:rFonts w:ascii="Times New Roman" w:hAnsi="Times New Roman" w:eastAsia="仿宋"/>
          <w:b/>
          <w:bCs/>
          <w:color w:val="auto"/>
          <w:sz w:val="30"/>
          <w:szCs w:val="30"/>
        </w:rPr>
      </w:pPr>
      <w:r>
        <w:rPr>
          <w:rFonts w:hint="eastAsia" w:ascii="Times New Roman" w:hAnsi="Times New Roman" w:eastAsia="仿宋"/>
          <w:b/>
          <w:bCs/>
          <w:color w:val="auto"/>
          <w:sz w:val="30"/>
          <w:szCs w:val="30"/>
        </w:rPr>
        <w:t>3.大力发展农业电商</w:t>
      </w:r>
    </w:p>
    <w:p>
      <w:pPr>
        <w:ind w:firstLine="600" w:firstLineChars="200"/>
        <w:rPr>
          <w:rFonts w:ascii="Times New Roman" w:hAnsi="Times New Roman" w:eastAsia="仿宋"/>
          <w:color w:val="auto"/>
          <w:sz w:val="30"/>
          <w:szCs w:val="30"/>
        </w:rPr>
      </w:pPr>
      <w:r>
        <w:rPr>
          <w:rFonts w:hint="eastAsia" w:ascii="Times New Roman" w:hAnsi="Times New Roman" w:eastAsia="仿宋"/>
          <w:color w:val="auto"/>
          <w:sz w:val="30"/>
          <w:szCs w:val="30"/>
        </w:rPr>
        <w:t>探索建立淘宝、京东等平台的“阳城馆”，支持电商特色小镇建设，打造产供销一体化的农产品营销网络体系。加快农村和农产品流通网络建设，扩大电子商务农村综合示范覆盖范围，畅通工业品下乡和农产品进城渠道。</w:t>
      </w:r>
      <w:r>
        <w:rPr>
          <w:rFonts w:ascii="Times New Roman" w:hAnsi="Times New Roman" w:eastAsia="仿宋"/>
          <w:color w:val="auto"/>
          <w:sz w:val="30"/>
          <w:szCs w:val="30"/>
        </w:rPr>
        <w:t>鼓励网红</w:t>
      </w:r>
      <w:r>
        <w:rPr>
          <w:rFonts w:hint="eastAsia" w:ascii="Times New Roman" w:hAnsi="Times New Roman" w:eastAsia="仿宋"/>
          <w:color w:val="auto"/>
          <w:sz w:val="30"/>
          <w:szCs w:val="30"/>
        </w:rPr>
        <w:t>“</w:t>
      </w:r>
      <w:r>
        <w:rPr>
          <w:rFonts w:ascii="Times New Roman" w:hAnsi="Times New Roman" w:eastAsia="仿宋"/>
          <w:color w:val="auto"/>
          <w:sz w:val="30"/>
          <w:szCs w:val="30"/>
        </w:rPr>
        <w:t>直播带货</w:t>
      </w:r>
      <w:r>
        <w:rPr>
          <w:rFonts w:hint="eastAsia" w:ascii="Times New Roman" w:hAnsi="Times New Roman" w:eastAsia="仿宋"/>
          <w:color w:val="auto"/>
          <w:sz w:val="30"/>
          <w:szCs w:val="30"/>
        </w:rPr>
        <w:t>”</w:t>
      </w:r>
      <w:r>
        <w:rPr>
          <w:rFonts w:ascii="Times New Roman" w:hAnsi="Times New Roman" w:eastAsia="仿宋"/>
          <w:color w:val="auto"/>
          <w:sz w:val="30"/>
          <w:szCs w:val="30"/>
        </w:rPr>
        <w:t>等销售模式，开通</w:t>
      </w:r>
      <w:r>
        <w:rPr>
          <w:rFonts w:hint="eastAsia" w:ascii="Times New Roman" w:hAnsi="Times New Roman" w:eastAsia="仿宋"/>
          <w:color w:val="auto"/>
          <w:sz w:val="30"/>
          <w:szCs w:val="30"/>
        </w:rPr>
        <w:t>“晋城阳城”</w:t>
      </w:r>
      <w:r>
        <w:rPr>
          <w:rFonts w:ascii="Times New Roman" w:hAnsi="Times New Roman" w:eastAsia="仿宋"/>
          <w:color w:val="auto"/>
          <w:sz w:val="30"/>
          <w:szCs w:val="30"/>
        </w:rPr>
        <w:t>抖音直播号，采取</w:t>
      </w:r>
      <w:r>
        <w:rPr>
          <w:rFonts w:hint="eastAsia" w:ascii="Times New Roman" w:hAnsi="Times New Roman" w:eastAsia="仿宋"/>
          <w:color w:val="auto"/>
          <w:sz w:val="30"/>
          <w:szCs w:val="30"/>
        </w:rPr>
        <w:t>“</w:t>
      </w:r>
      <w:r>
        <w:rPr>
          <w:rFonts w:ascii="Times New Roman" w:hAnsi="Times New Roman" w:eastAsia="仿宋"/>
          <w:color w:val="auto"/>
          <w:sz w:val="30"/>
          <w:szCs w:val="30"/>
        </w:rPr>
        <w:t>一把手带货</w:t>
      </w:r>
      <w:r>
        <w:rPr>
          <w:rFonts w:hint="eastAsia" w:ascii="Times New Roman" w:hAnsi="Times New Roman" w:eastAsia="仿宋"/>
          <w:color w:val="auto"/>
          <w:sz w:val="30"/>
          <w:szCs w:val="30"/>
        </w:rPr>
        <w:t>”</w:t>
      </w:r>
      <w:r>
        <w:rPr>
          <w:rFonts w:ascii="Times New Roman" w:hAnsi="Times New Roman" w:eastAsia="仿宋"/>
          <w:color w:val="auto"/>
          <w:sz w:val="30"/>
          <w:szCs w:val="30"/>
        </w:rPr>
        <w:t>的形式，线上代销</w:t>
      </w:r>
      <w:r>
        <w:rPr>
          <w:rFonts w:hint="eastAsia" w:ascii="Times New Roman" w:hAnsi="Times New Roman" w:eastAsia="仿宋"/>
          <w:color w:val="auto"/>
          <w:sz w:val="30"/>
          <w:szCs w:val="30"/>
        </w:rPr>
        <w:t>“阳城产</w:t>
      </w:r>
      <w:r>
        <w:rPr>
          <w:rFonts w:ascii="Times New Roman" w:hAnsi="Times New Roman" w:eastAsia="仿宋"/>
          <w:color w:val="auto"/>
          <w:sz w:val="30"/>
          <w:szCs w:val="30"/>
        </w:rPr>
        <w:t>品</w:t>
      </w:r>
      <w:r>
        <w:rPr>
          <w:rFonts w:hint="eastAsia" w:ascii="Times New Roman" w:hAnsi="Times New Roman" w:eastAsia="仿宋"/>
          <w:color w:val="auto"/>
          <w:sz w:val="30"/>
          <w:szCs w:val="30"/>
        </w:rPr>
        <w:t>”</w:t>
      </w:r>
      <w:r>
        <w:rPr>
          <w:rFonts w:ascii="Times New Roman" w:hAnsi="Times New Roman" w:eastAsia="仿宋"/>
          <w:color w:val="auto"/>
          <w:sz w:val="30"/>
          <w:szCs w:val="30"/>
        </w:rPr>
        <w:t>。深化</w:t>
      </w:r>
      <w:r>
        <w:rPr>
          <w:rFonts w:hint="eastAsia" w:ascii="Times New Roman" w:hAnsi="Times New Roman" w:eastAsia="仿宋"/>
          <w:color w:val="auto"/>
          <w:sz w:val="30"/>
          <w:szCs w:val="30"/>
        </w:rPr>
        <w:t>阳城</w:t>
      </w:r>
      <w:r>
        <w:rPr>
          <w:rFonts w:ascii="Times New Roman" w:hAnsi="Times New Roman" w:eastAsia="仿宋"/>
          <w:color w:val="auto"/>
          <w:sz w:val="30"/>
          <w:szCs w:val="30"/>
        </w:rPr>
        <w:t>特色品牌网上推介的内涵和外延，加快网货品牌培育步伐</w:t>
      </w:r>
      <w:r>
        <w:rPr>
          <w:rFonts w:hint="eastAsia" w:ascii="Times New Roman" w:hAnsi="Times New Roman" w:eastAsia="仿宋"/>
          <w:color w:val="auto"/>
          <w:sz w:val="30"/>
          <w:szCs w:val="30"/>
        </w:rPr>
        <w:t>，</w:t>
      </w:r>
      <w:r>
        <w:rPr>
          <w:rFonts w:ascii="Times New Roman" w:hAnsi="Times New Roman" w:eastAsia="仿宋"/>
          <w:color w:val="auto"/>
          <w:sz w:val="30"/>
          <w:szCs w:val="30"/>
        </w:rPr>
        <w:t>围绕</w:t>
      </w:r>
      <w:r>
        <w:rPr>
          <w:rFonts w:hint="eastAsia" w:ascii="Times New Roman" w:hAnsi="Times New Roman" w:eastAsia="仿宋"/>
          <w:color w:val="auto"/>
          <w:sz w:val="30"/>
          <w:szCs w:val="30"/>
        </w:rPr>
        <w:t>桑麻</w:t>
      </w:r>
      <w:r>
        <w:rPr>
          <w:rFonts w:ascii="Times New Roman" w:hAnsi="Times New Roman" w:eastAsia="仿宋"/>
          <w:color w:val="auto"/>
          <w:sz w:val="30"/>
          <w:szCs w:val="30"/>
        </w:rPr>
        <w:t>等特色产品，打造绿色优质网货品牌</w:t>
      </w:r>
      <w:r>
        <w:rPr>
          <w:rFonts w:hint="eastAsia" w:ascii="Times New Roman" w:hAnsi="Times New Roman" w:eastAsia="仿宋"/>
          <w:color w:val="auto"/>
          <w:sz w:val="30"/>
          <w:szCs w:val="30"/>
        </w:rPr>
        <w:t>，</w:t>
      </w:r>
      <w:r>
        <w:rPr>
          <w:rFonts w:ascii="Times New Roman" w:hAnsi="Times New Roman" w:eastAsia="仿宋"/>
          <w:color w:val="auto"/>
          <w:sz w:val="30"/>
          <w:szCs w:val="30"/>
        </w:rPr>
        <w:t>促使</w:t>
      </w:r>
      <w:r>
        <w:rPr>
          <w:rFonts w:hint="eastAsia" w:ascii="Times New Roman" w:hAnsi="Times New Roman" w:eastAsia="仿宋"/>
          <w:color w:val="auto"/>
          <w:sz w:val="30"/>
          <w:szCs w:val="30"/>
        </w:rPr>
        <w:t>阳城</w:t>
      </w:r>
      <w:r>
        <w:rPr>
          <w:rFonts w:ascii="Times New Roman" w:hAnsi="Times New Roman" w:eastAsia="仿宋"/>
          <w:color w:val="auto"/>
          <w:sz w:val="30"/>
          <w:szCs w:val="30"/>
        </w:rPr>
        <w:t>特色品牌尽快成为网上知名品牌和驰名商标</w:t>
      </w:r>
      <w:r>
        <w:rPr>
          <w:rFonts w:hint="eastAsia" w:ascii="Times New Roman" w:hAnsi="Times New Roman" w:eastAsia="仿宋"/>
          <w:color w:val="auto"/>
          <w:sz w:val="30"/>
          <w:szCs w:val="30"/>
        </w:rPr>
        <w:t>，实现晋城、洛阳优质产品阳城卖。</w:t>
      </w:r>
    </w:p>
    <w:p>
      <w:pPr>
        <w:pStyle w:val="5"/>
        <w:ind w:firstLine="600"/>
        <w:rPr>
          <w:rFonts w:eastAsia="仿宋"/>
          <w:color w:val="auto"/>
          <w:sz w:val="30"/>
          <w:szCs w:val="30"/>
        </w:rPr>
      </w:pPr>
      <w:r>
        <w:rPr>
          <w:rFonts w:hint="eastAsia" w:eastAsia="仿宋"/>
          <w:color w:val="auto"/>
          <w:sz w:val="30"/>
          <w:szCs w:val="30"/>
        </w:rPr>
        <w:t>构建农村电商营销服务体系。利用互联网网红直播、旅游电商、社交媒体推广等形式，同时鼓励和扶持本地网商、农业和旅游企业参与到营销体系建设中来，营造农村电子商务发展的良好氛围。运用多种电子商务营销手段，如微信营销、微博营销、手机APP、农产品垂直营销平台等，提高农产品的产业化、组织化程度，让更多优质、安全的农产品以便捷的方式、通畅的渠道进入市场，促进农业增效、农民增收。运用新媒体，多方式对本县区域公共品牌、特色农产品、电商政策进行宣传。在交通便利、人流量大、沿旅游路线附近和有实际需求的地方，选择建设具有O2O展示展销和体验功能的电子商务服务站点，既在线下推销本地产品，也提供线下展示功能。在电商平台开设阳城县名特优产品特色馆，建立全网营销渠道，孵化本县网商电商，开展网上销售渠道全网营销。利用互联网网红直播、旅游电商、社交媒体推广等形式，推广本县公共品牌及区域知名度。</w:t>
      </w:r>
    </w:p>
    <w:p>
      <w:pPr>
        <w:pStyle w:val="5"/>
        <w:spacing w:after="0"/>
        <w:ind w:firstLine="602"/>
        <w:rPr>
          <w:rFonts w:eastAsia="仿宋"/>
          <w:b/>
          <w:bCs/>
          <w:color w:val="auto"/>
          <w:sz w:val="30"/>
          <w:szCs w:val="30"/>
        </w:rPr>
      </w:pPr>
      <w:r>
        <w:rPr>
          <w:rFonts w:hint="eastAsia" w:eastAsia="仿宋"/>
          <w:b/>
          <w:bCs/>
          <w:color w:val="auto"/>
          <w:sz w:val="30"/>
          <w:szCs w:val="30"/>
        </w:rPr>
        <w:t>4.创新农业+旅游模式</w:t>
      </w:r>
    </w:p>
    <w:p>
      <w:pPr>
        <w:ind w:firstLine="600" w:firstLineChars="200"/>
        <w:rPr>
          <w:rFonts w:ascii="Times New Roman" w:hAnsi="Times New Roman" w:eastAsia="仿宋"/>
          <w:color w:val="auto"/>
          <w:sz w:val="30"/>
          <w:szCs w:val="30"/>
        </w:rPr>
      </w:pPr>
      <w:r>
        <w:rPr>
          <w:rFonts w:hint="eastAsia" w:ascii="Times New Roman" w:hAnsi="Times New Roman" w:eastAsia="仿宋"/>
          <w:color w:val="auto"/>
          <w:sz w:val="30"/>
          <w:szCs w:val="30"/>
        </w:rPr>
        <w:t>以皇城相府集团为龙头，以“皇城相府”为品牌，着力打造特色、绿色、有机和国家、省级地理标志产品，做大、做强、做亮皇城相府区域公共平台，展示、宣传我县特色农产品，培育、叫响我县农产品品牌。</w:t>
      </w:r>
    </w:p>
    <w:p>
      <w:pPr>
        <w:ind w:firstLine="600" w:firstLineChars="200"/>
        <w:rPr>
          <w:rFonts w:ascii="Times New Roman" w:hAnsi="Times New Roman" w:eastAsia="仿宋"/>
          <w:color w:val="auto"/>
          <w:sz w:val="30"/>
          <w:szCs w:val="30"/>
        </w:rPr>
      </w:pPr>
      <w:r>
        <w:rPr>
          <w:rFonts w:hint="eastAsia" w:ascii="Times New Roman" w:hAnsi="Times New Roman" w:eastAsia="仿宋"/>
          <w:color w:val="auto"/>
          <w:sz w:val="30"/>
          <w:szCs w:val="30"/>
        </w:rPr>
        <w:t>做好中国农业公园，打造形成一系列独具特色的田园观光、农耕体验、民宿旅游、创意农业、农学科研等涵盖一二三产业的农业产业集群。完成太行一号国家风景道阳城段建设，统筹做好沿线环境整治、绿化彩化、景观营造等工作，支持发展一批特色农庄、乡村客栈、采摘园和特色农家乐，着力打造村村是景区、处处是景点、一年四季都有新玩法的旅游景观带。</w:t>
      </w:r>
    </w:p>
    <w:p>
      <w:pPr>
        <w:ind w:firstLine="600" w:firstLineChars="200"/>
        <w:rPr>
          <w:rFonts w:ascii="Times New Roman" w:hAnsi="Times New Roman" w:eastAsia="仿宋"/>
          <w:color w:val="auto"/>
          <w:sz w:val="30"/>
          <w:szCs w:val="30"/>
        </w:rPr>
      </w:pPr>
      <w:r>
        <w:rPr>
          <w:rFonts w:hint="eastAsia" w:ascii="Times New Roman" w:hAnsi="Times New Roman" w:eastAsia="仿宋"/>
          <w:color w:val="auto"/>
          <w:sz w:val="30"/>
          <w:szCs w:val="30"/>
        </w:rPr>
        <w:t>坚持“塑形”与“留魂”相结合，在文化传承上留住乡村的“灵魂”，加大古堡民居保护开发利用，传承民间艺术、手工技艺、民俗活动等非物质文化遗产，真正让古村落“美起来”，打造“看得见山、望得见水、记得住乡愁”的美丽乡村。推进“一村一品”</w:t>
      </w:r>
      <w:r>
        <w:rPr>
          <w:rFonts w:hint="eastAsia" w:ascii="Times New Roman" w:hAnsi="Times New Roman" w:eastAsia="仿宋"/>
          <w:color w:val="auto"/>
          <w:sz w:val="30"/>
          <w:szCs w:val="30"/>
          <w:lang w:eastAsia="zh-CN"/>
        </w:rPr>
        <w:t>、</w:t>
      </w:r>
      <w:r>
        <w:rPr>
          <w:rFonts w:hint="eastAsia" w:ascii="Times New Roman" w:hAnsi="Times New Roman" w:eastAsia="仿宋"/>
          <w:color w:val="auto"/>
          <w:sz w:val="30"/>
          <w:szCs w:val="30"/>
        </w:rPr>
        <w:t>“一片一业”，因地制宜、错位谋划、差异发展，挖掘地域文化、人文历史、田园风光、绿色食品等休闲旅游资源，实现村村有特色、处处有美景。持续实施休闲观光、赏花品果、农事体验等休闲项目，推动田园变公园、农房变客房、劳作变体验，让美丽乡村有文化说头、有景观看头、有休闲玩头、有挣钱由头。</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16" w:name="_Toc7685"/>
      <w:r>
        <w:rPr>
          <w:rFonts w:hint="eastAsia" w:ascii="Times New Roman" w:hAnsi="Times New Roman" w:eastAsia="仿宋"/>
          <w:b/>
          <w:bCs/>
          <w:color w:val="auto"/>
          <w:sz w:val="32"/>
          <w:szCs w:val="32"/>
        </w:rPr>
        <w:t>（五）打造文旅</w:t>
      </w:r>
      <w:r>
        <w:rPr>
          <w:rFonts w:hint="eastAsia" w:ascii="Times New Roman" w:hAnsi="Times New Roman" w:eastAsia="仿宋"/>
          <w:b/>
          <w:bCs/>
          <w:color w:val="auto"/>
          <w:sz w:val="32"/>
          <w:szCs w:val="32"/>
          <w:lang w:val="en-US" w:eastAsia="zh-CN"/>
        </w:rPr>
        <w:t>康养</w:t>
      </w:r>
      <w:r>
        <w:rPr>
          <w:rFonts w:hint="eastAsia" w:ascii="Times New Roman" w:hAnsi="Times New Roman" w:eastAsia="仿宋"/>
          <w:b/>
          <w:bCs/>
          <w:color w:val="auto"/>
          <w:sz w:val="32"/>
          <w:szCs w:val="32"/>
        </w:rPr>
        <w:t>新业态，</w:t>
      </w:r>
      <w:r>
        <w:rPr>
          <w:rFonts w:hint="eastAsia" w:ascii="Times New Roman" w:hAnsi="Times New Roman" w:eastAsia="仿宋"/>
          <w:b/>
          <w:bCs/>
          <w:color w:val="auto"/>
          <w:sz w:val="32"/>
          <w:szCs w:val="32"/>
          <w:lang w:val="en-US" w:eastAsia="zh-CN"/>
        </w:rPr>
        <w:t>推动</w:t>
      </w:r>
      <w:r>
        <w:rPr>
          <w:rFonts w:hint="eastAsia" w:ascii="Times New Roman" w:hAnsi="Times New Roman" w:eastAsia="仿宋"/>
          <w:b/>
          <w:bCs/>
          <w:color w:val="auto"/>
          <w:sz w:val="32"/>
          <w:szCs w:val="32"/>
        </w:rPr>
        <w:t>文旅高质量发展</w:t>
      </w:r>
      <w:bookmarkEnd w:id="16"/>
    </w:p>
    <w:p>
      <w:pPr>
        <w:pStyle w:val="14"/>
        <w:shd w:val="clear" w:color="auto" w:fill="FFFFFF"/>
        <w:spacing w:before="0" w:beforeAutospacing="0" w:after="0" w:afterAutospacing="0" w:line="360" w:lineRule="auto"/>
        <w:ind w:firstLine="602" w:firstLineChars="200"/>
        <w:rPr>
          <w:rFonts w:ascii="Times New Roman" w:hAnsi="Times New Roman" w:eastAsia="仿宋" w:cs="仿宋"/>
          <w:b/>
          <w:bCs/>
          <w:color w:val="auto"/>
          <w:sz w:val="30"/>
          <w:szCs w:val="30"/>
          <w:shd w:val="clear" w:color="auto" w:fill="FFFFFF"/>
        </w:rPr>
      </w:pPr>
      <w:r>
        <w:rPr>
          <w:rFonts w:hint="eastAsia" w:ascii="Times New Roman" w:hAnsi="Times New Roman" w:eastAsia="仿宋" w:cs="仿宋"/>
          <w:b/>
          <w:bCs/>
          <w:color w:val="auto"/>
          <w:sz w:val="30"/>
          <w:szCs w:val="30"/>
          <w:shd w:val="clear" w:color="auto" w:fill="FFFFFF"/>
        </w:rPr>
        <w:t>1.服务</w:t>
      </w:r>
      <w:r>
        <w:rPr>
          <w:rFonts w:hint="eastAsia" w:ascii="Times New Roman" w:hAnsi="Times New Roman" w:eastAsia="仿宋" w:cs="仿宋"/>
          <w:b/>
          <w:bCs/>
          <w:color w:val="auto"/>
          <w:sz w:val="30"/>
          <w:szCs w:val="30"/>
        </w:rPr>
        <w:t>提档升级</w:t>
      </w:r>
    </w:p>
    <w:p>
      <w:pPr>
        <w:pStyle w:val="14"/>
        <w:shd w:val="clear" w:color="auto" w:fill="FFFFFF"/>
        <w:spacing w:before="0" w:beforeAutospacing="0" w:after="0" w:afterAutospacing="0" w:line="360" w:lineRule="auto"/>
        <w:ind w:firstLine="600" w:firstLineChars="200"/>
        <w:rPr>
          <w:rFonts w:ascii="Times New Roman" w:hAnsi="Times New Roman" w:eastAsia="仿宋" w:cs="仿宋"/>
          <w:color w:val="auto"/>
          <w:sz w:val="30"/>
          <w:szCs w:val="30"/>
        </w:rPr>
      </w:pPr>
      <w:r>
        <w:rPr>
          <w:rFonts w:hint="eastAsia" w:ascii="Times New Roman" w:hAnsi="Times New Roman" w:eastAsia="仿宋" w:cs="仿宋"/>
          <w:color w:val="auto"/>
          <w:sz w:val="30"/>
          <w:szCs w:val="30"/>
        </w:rPr>
        <w:t>围绕构建全域旅游大格局，推动生态旅游做大做强。完善骏马岭公园、东坡头公园、阳高泉公园、美韵公园、虎头山公园基础设施配套，以凤北休闲游乐园、县城游园、城西体育公园、综合体育中心、凤南区中央水体公园、县城东门健身广场和停车场一体化、演礼新城足球场、阳城国家农业公园、凤南区迎宾湿地公园建设为契机，打造集健身、运动、休闲、娱乐为一体的生态性开放型文化公园，提升市民游园环境和生活品质，提高城市建设档次和知名度；突出“绿道品牌美”，以承办国际赛事为契机，带动发展健走骑游、登山露营、写生摄影等旅游项目，推动田园城市与旅游、文化、体育深度融合；展示“人文底蕴美”，以古堡民居、文物保护、非遗传承为主线，挖掘十凤齐鸣、广禅文化、太岳文化、红色记忆等历史文化，加快六福客栈、明清一条街、山头水草庙等修复改造，打造彰显阳城魅力的“文化长廊”；宣传“生态健康美”，大力发展休闲观光、天然氧吧、登山览胜等健康养生产品，开发包装高妆馍、阳城烧肝、桑葚等绿色旅游产品，精心策划徒步大会、山地越野、竞走骑游等赛事活动，建设西山康养医养胜地、白沟农业观光园、阳高泉农业示范园。</w:t>
      </w:r>
    </w:p>
    <w:p>
      <w:pPr>
        <w:pStyle w:val="14"/>
        <w:shd w:val="clear" w:color="auto" w:fill="FFFFFF"/>
        <w:spacing w:before="0" w:beforeAutospacing="0" w:after="0" w:afterAutospacing="0" w:line="360" w:lineRule="auto"/>
        <w:ind w:firstLine="602" w:firstLineChars="200"/>
        <w:rPr>
          <w:rFonts w:ascii="Times New Roman" w:hAnsi="Times New Roman" w:eastAsia="仿宋" w:cs="仿宋"/>
          <w:b/>
          <w:bCs/>
          <w:color w:val="auto"/>
          <w:sz w:val="30"/>
          <w:szCs w:val="30"/>
          <w:shd w:val="clear" w:color="auto" w:fill="FFFFFF"/>
        </w:rPr>
      </w:pPr>
      <w:r>
        <w:rPr>
          <w:rFonts w:hint="eastAsia" w:ascii="Times New Roman" w:hAnsi="Times New Roman" w:eastAsia="仿宋" w:cs="仿宋"/>
          <w:b/>
          <w:bCs/>
          <w:color w:val="auto"/>
          <w:sz w:val="30"/>
          <w:szCs w:val="30"/>
          <w:shd w:val="clear" w:color="auto" w:fill="FFFFFF"/>
        </w:rPr>
        <w:t>2.产业融合新业态</w:t>
      </w:r>
    </w:p>
    <w:p>
      <w:pPr>
        <w:pStyle w:val="14"/>
        <w:shd w:val="clear" w:color="auto" w:fill="FFFFFF"/>
        <w:spacing w:before="0" w:beforeAutospacing="0" w:after="0" w:afterAutospacing="0" w:line="360" w:lineRule="auto"/>
        <w:ind w:firstLine="600" w:firstLineChars="200"/>
        <w:rPr>
          <w:rFonts w:ascii="Times New Roman" w:hAnsi="Times New Roman" w:eastAsia="仿宋" w:cs="仿宋"/>
          <w:color w:val="auto"/>
          <w:sz w:val="30"/>
          <w:szCs w:val="30"/>
        </w:rPr>
      </w:pPr>
      <w:r>
        <w:rPr>
          <w:rFonts w:hint="eastAsia" w:ascii="Times New Roman" w:hAnsi="Times New Roman" w:eastAsia="仿宋" w:cs="仿宋"/>
          <w:color w:val="auto"/>
          <w:sz w:val="30"/>
          <w:szCs w:val="30"/>
        </w:rPr>
        <w:t>大力发展田园经济，围绕“博美农场”，坚持绿化、亮化、美化、彩化“四化”同步，菜园、果园、粮园、体验园“四园”并进，打造唱响田园牧歌的“生态绿圈”。依托沁河古堡深厚的文化底蕴，将郭峪古城、砥洎城、天官王府、中庄布政李府、河阳商道古镇等沁河古堡古民居资源串珠成链、串线成面，实现资源共享与优势互补。</w:t>
      </w:r>
    </w:p>
    <w:p>
      <w:pPr>
        <w:pStyle w:val="14"/>
        <w:shd w:val="clear" w:color="auto" w:fill="FFFFFF"/>
        <w:spacing w:before="0" w:beforeAutospacing="0" w:after="0" w:afterAutospacing="0" w:line="360" w:lineRule="auto"/>
        <w:ind w:firstLine="600" w:firstLineChars="200"/>
        <w:rPr>
          <w:rFonts w:ascii="Times New Roman" w:hAnsi="Times New Roman" w:eastAsia="仿宋" w:cs="仿宋"/>
          <w:color w:val="auto"/>
          <w:sz w:val="30"/>
          <w:szCs w:val="30"/>
        </w:rPr>
      </w:pPr>
      <w:r>
        <w:rPr>
          <w:rFonts w:hint="eastAsia" w:ascii="Times New Roman" w:hAnsi="Times New Roman" w:eastAsia="仿宋" w:cs="仿宋"/>
          <w:color w:val="auto"/>
          <w:sz w:val="30"/>
          <w:szCs w:val="30"/>
        </w:rPr>
        <w:t>深入挖掘蚕桑文化资源，加快筹建蚕桑博物馆，推动历史文化与蚕桑产业深度融合，让“阳城蚕桑”这块金字招牌愈擦愈亮。</w:t>
      </w:r>
    </w:p>
    <w:p>
      <w:pPr>
        <w:pStyle w:val="14"/>
        <w:shd w:val="clear" w:color="auto" w:fill="FFFFFF"/>
        <w:spacing w:before="0" w:beforeAutospacing="0" w:after="0" w:afterAutospacing="0" w:line="360" w:lineRule="auto"/>
        <w:ind w:firstLine="600" w:firstLineChars="200"/>
        <w:rPr>
          <w:rFonts w:ascii="Times New Roman" w:hAnsi="Times New Roman" w:eastAsia="仿宋" w:cs="仿宋"/>
          <w:color w:val="auto"/>
          <w:sz w:val="30"/>
          <w:szCs w:val="30"/>
        </w:rPr>
      </w:pPr>
      <w:r>
        <w:rPr>
          <w:rFonts w:hint="eastAsia" w:ascii="Times New Roman" w:hAnsi="Times New Roman" w:eastAsia="仿宋" w:cs="仿宋"/>
          <w:color w:val="auto"/>
          <w:sz w:val="30"/>
          <w:szCs w:val="30"/>
        </w:rPr>
        <w:t>挖掘陶瓷产业发展潜力，以南安阳、北安阳、后则腰三村为中心，依托陶瓷产业基础、独特区位优势、便捷交通网络、优美自然风光和特色文化资源，延伸陶瓷产业价值链，放大乡村旅游品牌值，加快陶瓷小镇“六个一”（一河、一城、一院、一园、一馆、一街）建设，打造集产品研发、商贸物流、文创体验、休闲观光、骑行旅居的陶瓷主题综合目的地。</w:t>
      </w:r>
    </w:p>
    <w:p>
      <w:pPr>
        <w:ind w:firstLine="600"/>
        <w:rPr>
          <w:rFonts w:ascii="Times New Roman" w:hAnsi="Times New Roman" w:eastAsia="仿宋" w:cs="仿宋"/>
          <w:color w:val="auto"/>
          <w:sz w:val="30"/>
          <w:szCs w:val="30"/>
        </w:rPr>
      </w:pPr>
      <w:r>
        <w:rPr>
          <w:rFonts w:hint="eastAsia" w:ascii="Times New Roman" w:hAnsi="Times New Roman" w:eastAsia="仿宋" w:cs="仿宋"/>
          <w:color w:val="auto"/>
          <w:sz w:val="30"/>
          <w:szCs w:val="30"/>
        </w:rPr>
        <w:t>以蟒河国家森林康养试点镇为契机，以国家4A级旅游景区——蟒河自然保护区为依托，依托森林资源、自然风光、历史文化、农耕文化、民俗文化，全面强化农业增值、休闲服务、生态保护、观光体验、文化传承、科普教育、养生养心等功能，发展一批新产业新业态新模式，建设一批中医保健、康复疗养、避暑养生等休闲旅游、康体健身产业示范基地；打造一批田园观光、采摘、垂钓等休闲农庄，发展农业科普和农事体验；加强农村传统文化保护，合力开发农业文化遗产；引进现代信息网络技术，推动科技元素融入农林文旅康融合发展项目，加快打造乡村旅游新高地，全力构建文旅融合大格局。</w:t>
      </w:r>
    </w:p>
    <w:p>
      <w:pPr>
        <w:ind w:firstLine="600"/>
        <w:rPr>
          <w:rFonts w:ascii="Times New Roman" w:hAnsi="Times New Roman" w:eastAsia="仿宋" w:cs="仿宋"/>
          <w:color w:val="auto"/>
          <w:sz w:val="30"/>
          <w:szCs w:val="30"/>
        </w:rPr>
      </w:pPr>
      <w:r>
        <w:rPr>
          <w:rFonts w:hint="eastAsia" w:ascii="Times New Roman" w:hAnsi="Times New Roman" w:eastAsia="仿宋" w:cs="仿宋"/>
          <w:color w:val="auto"/>
          <w:sz w:val="30"/>
          <w:szCs w:val="30"/>
        </w:rPr>
        <w:t>立足阳城优势，围绕“睡眠、降压、长寿、运动”主题，以“养心、养身、养老”为核心，以打造蟒河康养小镇为示范，打造更多特色鲜明的康养小镇。围绕阳济公路、西蟒公路、阳蟒高速、乡村旅游公路等发展休闲康养、森林体验、林下经济等特色产业，环太行一号国家风景道、太行古堡群、沁河流域、白水河流域布局全康养旅游产品，全方位提升康养旅游产品品质，形成康养度假类产品集群式发展；通过项目的高位谋划、整体开发与分步实施，积极培育“康养+旅游”“康养+运动”“康养+医疗”等多业态的健康产业，着力补短板、填空白、强弱项、抓提升，进一步完善文化旅游集聚功能，极大提升康养旅游接待能力。</w:t>
      </w:r>
    </w:p>
    <w:p>
      <w:pPr>
        <w:pStyle w:val="5"/>
        <w:ind w:firstLine="600"/>
        <w:rPr>
          <w:rFonts w:eastAsia="仿宋" w:cs="仿宋"/>
          <w:color w:val="auto"/>
          <w:sz w:val="30"/>
          <w:szCs w:val="30"/>
        </w:rPr>
      </w:pPr>
      <w:r>
        <w:rPr>
          <w:rFonts w:hint="eastAsia" w:eastAsia="仿宋" w:cs="仿宋"/>
          <w:color w:val="auto"/>
          <w:sz w:val="30"/>
          <w:szCs w:val="30"/>
        </w:rPr>
        <w:t>按照“串点成线、一乡（镇）一特”的工作思路，形成农林文旅康产业融合发展精品线路，构建全域旅游重要节点、乡村康养重要支撑。依托改革为传统乡村赋能，通过乡村价值重塑实现“绿水青山变金山银山”。加快演礼新兴产业园、演礼大健康产业园、演礼中药健康产业园、演礼新城全科盟大健康产业技术研究院、演礼新城孵化器和加速器、开发区安阳现代陶瓷工业园、现代陶瓷产业园、陶瓷小镇、琉璃特色制品产业园、特种陶瓷基地、万亩中药材种植产业园、万亩核桃种植产业园、蟒河山茱萸康养特色小镇、次营蚕桑现代农业产业园建设步伐，坚持把农林文旅康产业融合发展作为重中之重，先行先试，闯出新路、打造样板、总结经验。</w:t>
      </w:r>
    </w:p>
    <w:p>
      <w:pPr>
        <w:pStyle w:val="14"/>
        <w:shd w:val="clear" w:color="auto" w:fill="FFFFFF"/>
        <w:spacing w:before="0" w:beforeAutospacing="0" w:after="0" w:afterAutospacing="0" w:line="360" w:lineRule="auto"/>
        <w:ind w:firstLine="602" w:firstLineChars="200"/>
        <w:rPr>
          <w:rFonts w:ascii="Times New Roman" w:hAnsi="Times New Roman" w:eastAsia="仿宋" w:cs="仿宋"/>
          <w:b/>
          <w:bCs/>
          <w:color w:val="auto"/>
          <w:sz w:val="30"/>
          <w:szCs w:val="30"/>
          <w:shd w:val="clear" w:color="auto" w:fill="FFFFFF"/>
        </w:rPr>
      </w:pPr>
      <w:r>
        <w:rPr>
          <w:rFonts w:hint="eastAsia" w:ascii="Times New Roman" w:hAnsi="Times New Roman" w:eastAsia="仿宋" w:cs="仿宋"/>
          <w:b/>
          <w:bCs/>
          <w:color w:val="auto"/>
          <w:sz w:val="30"/>
          <w:szCs w:val="30"/>
          <w:shd w:val="clear" w:color="auto" w:fill="FFFFFF"/>
        </w:rPr>
        <w:t>3.产品创新</w:t>
      </w:r>
    </w:p>
    <w:p>
      <w:pPr>
        <w:pStyle w:val="14"/>
        <w:shd w:val="clear" w:color="auto" w:fill="FFFFFF"/>
        <w:spacing w:before="0" w:beforeAutospacing="0" w:after="0" w:afterAutospacing="0" w:line="360" w:lineRule="auto"/>
        <w:ind w:firstLine="600" w:firstLineChars="200"/>
        <w:rPr>
          <w:rFonts w:ascii="Times New Roman" w:hAnsi="Times New Roman" w:eastAsia="仿宋" w:cs="仿宋"/>
          <w:color w:val="auto"/>
          <w:sz w:val="30"/>
          <w:szCs w:val="30"/>
        </w:rPr>
      </w:pPr>
      <w:r>
        <w:rPr>
          <w:rFonts w:hint="eastAsia" w:ascii="Times New Roman" w:hAnsi="Times New Roman" w:eastAsia="仿宋" w:cs="仿宋"/>
          <w:color w:val="auto"/>
          <w:sz w:val="30"/>
          <w:szCs w:val="30"/>
        </w:rPr>
        <w:t>鼓励景区推出云游览、云观赏服务。实施“漫步阳城”行动计划和“点亮阳城”夜间文化旅游消费计划，引导市民开展家庭式、个性化、漫步型旅游活动。培育发展一批网红打卡新地标，满足年轻时尚消费需求。支持线上体育健康活动和线上演出发展。</w:t>
      </w:r>
    </w:p>
    <w:p>
      <w:pPr>
        <w:ind w:firstLine="600"/>
        <w:rPr>
          <w:rFonts w:ascii="Times New Roman" w:hAnsi="Times New Roman" w:eastAsia="仿宋" w:cs="Arial"/>
          <w:color w:val="auto"/>
          <w:sz w:val="24"/>
          <w:szCs w:val="24"/>
          <w:shd w:val="clear" w:color="auto" w:fill="FFFFFF"/>
        </w:rPr>
      </w:pPr>
      <w:r>
        <w:rPr>
          <w:rFonts w:hint="eastAsia" w:ascii="Times New Roman" w:hAnsi="Times New Roman" w:eastAsia="仿宋" w:cs="仿宋"/>
          <w:color w:val="auto"/>
          <w:sz w:val="30"/>
          <w:szCs w:val="30"/>
        </w:rPr>
        <w:t>提升《古堡！古堡！》《再回相府》等实景剧演出水平和效益，通过夜景观光、夜间活动、夜晚休闲等夜游项目，真正让阳城的遗产“活”起来，让“太行古堡”的品牌“靓”起来。借助发现昆仑丘（析城山）的东风，深度挖掘昆仑文化和商汤文化内涵，讲好上古神话故事，加快国家地质公园申报，擦亮地方特色文化名片。</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17" w:name="_Toc28211"/>
      <w:r>
        <w:rPr>
          <w:rFonts w:hint="eastAsia" w:ascii="Times New Roman" w:hAnsi="Times New Roman" w:eastAsia="仿宋"/>
          <w:b/>
          <w:bCs/>
          <w:color w:val="auto"/>
          <w:sz w:val="32"/>
          <w:szCs w:val="32"/>
        </w:rPr>
        <w:t>（六）培育</w:t>
      </w:r>
      <w:r>
        <w:rPr>
          <w:rFonts w:hint="eastAsia" w:ascii="Times New Roman" w:hAnsi="Times New Roman" w:eastAsia="仿宋"/>
          <w:b/>
          <w:bCs/>
          <w:color w:val="auto"/>
          <w:sz w:val="32"/>
          <w:szCs w:val="32"/>
          <w:lang w:val="en-US" w:eastAsia="zh-CN"/>
        </w:rPr>
        <w:t>绿色</w:t>
      </w:r>
      <w:r>
        <w:rPr>
          <w:rFonts w:hint="eastAsia" w:ascii="Times New Roman" w:hAnsi="Times New Roman" w:eastAsia="仿宋"/>
          <w:b/>
          <w:bCs/>
          <w:color w:val="auto"/>
          <w:sz w:val="32"/>
          <w:szCs w:val="32"/>
        </w:rPr>
        <w:t>能源新业态，</w:t>
      </w:r>
      <w:r>
        <w:rPr>
          <w:rFonts w:hint="eastAsia" w:ascii="Times New Roman" w:hAnsi="Times New Roman" w:eastAsia="仿宋"/>
          <w:b/>
          <w:bCs/>
          <w:color w:val="auto"/>
          <w:sz w:val="32"/>
          <w:szCs w:val="32"/>
          <w:lang w:val="en-US" w:eastAsia="zh-CN"/>
        </w:rPr>
        <w:t>促进能源低碳化发展</w:t>
      </w:r>
      <w:bookmarkEnd w:id="17"/>
    </w:p>
    <w:p>
      <w:pPr>
        <w:pStyle w:val="14"/>
        <w:shd w:val="clear" w:color="auto" w:fill="FFFFFF"/>
        <w:spacing w:before="0" w:beforeAutospacing="0" w:after="210" w:afterAutospacing="0" w:line="480" w:lineRule="atLeast"/>
        <w:ind w:firstLine="600"/>
        <w:rPr>
          <w:rFonts w:ascii="Times New Roman" w:hAnsi="Times New Roman" w:eastAsia="仿宋"/>
          <w:color w:val="auto"/>
          <w:sz w:val="32"/>
          <w:szCs w:val="32"/>
        </w:rPr>
      </w:pPr>
      <w:r>
        <w:rPr>
          <w:rFonts w:ascii="Times New Roman" w:hAnsi="Times New Roman" w:eastAsia="仿宋"/>
          <w:color w:val="auto"/>
          <w:sz w:val="30"/>
          <w:szCs w:val="30"/>
        </w:rPr>
        <w:t>推动5G、移动互联网、物联网、大数据、云计算、人工智能等技术与能源新技术的深度融合</w:t>
      </w:r>
      <w:r>
        <w:rPr>
          <w:rFonts w:hint="eastAsia" w:ascii="Times New Roman" w:hAnsi="Times New Roman" w:eastAsia="仿宋"/>
          <w:color w:val="auto"/>
          <w:sz w:val="30"/>
          <w:szCs w:val="30"/>
        </w:rPr>
        <w:t>，通过互联网进一步加强能源生产和消费协调匹配，推进电动汽车等电能替代技术的应用，推动节能减排。鼓励能源企业</w:t>
      </w:r>
      <w:r>
        <w:rPr>
          <w:rFonts w:hint="eastAsia" w:ascii="Times New Roman" w:hAnsi="Times New Roman" w:eastAsia="仿宋"/>
          <w:color w:val="auto"/>
          <w:sz w:val="30"/>
          <w:szCs w:val="30"/>
        </w:rPr>
        <w:t>推进矿井数字化、智能化建设</w:t>
      </w:r>
      <w:r>
        <w:rPr>
          <w:rFonts w:hint="eastAsia" w:ascii="Times New Roman" w:hAnsi="Times New Roman" w:eastAsia="仿宋"/>
          <w:color w:val="auto"/>
          <w:sz w:val="30"/>
          <w:szCs w:val="30"/>
          <w:lang w:eastAsia="zh-CN"/>
        </w:rPr>
        <w:t>，</w:t>
      </w:r>
      <w:r>
        <w:rPr>
          <w:rFonts w:hint="eastAsia" w:ascii="Times New Roman" w:hAnsi="Times New Roman" w:eastAsia="仿宋"/>
          <w:color w:val="auto"/>
          <w:sz w:val="30"/>
          <w:szCs w:val="30"/>
          <w:lang w:val="en-US" w:eastAsia="zh-CN"/>
        </w:rPr>
        <w:t>加快智能矿井改造，</w:t>
      </w:r>
      <w:r>
        <w:rPr>
          <w:rFonts w:hint="eastAsia" w:ascii="Times New Roman" w:hAnsi="Times New Roman" w:eastAsia="仿宋"/>
          <w:color w:val="auto"/>
          <w:sz w:val="30"/>
          <w:szCs w:val="30"/>
        </w:rPr>
        <w:t>运用大数据技术对设备状态、电能负载等数据进行分析挖掘与预测，开展精准调度、故障判断和预测性维护，提高能源利用效率和安全稳定运行水平。加强能源产业链上下游企业的信息对接和生产消费智能化，支撑电厂和电网协调运行，促进非化石能源与化石能源协同发电。</w:t>
      </w:r>
      <w:r>
        <w:rPr>
          <w:rFonts w:ascii="Times New Roman" w:hAnsi="Times New Roman" w:eastAsia="仿宋"/>
          <w:color w:val="auto"/>
          <w:sz w:val="30"/>
          <w:szCs w:val="30"/>
        </w:rPr>
        <w:t>建设智慧能源运营调度和交易系统，创新平台运营方式，提高系统能效</w:t>
      </w:r>
      <w:r>
        <w:rPr>
          <w:rFonts w:hint="eastAsia" w:ascii="Times New Roman" w:hAnsi="Times New Roman" w:eastAsia="仿宋"/>
          <w:color w:val="auto"/>
          <w:sz w:val="30"/>
          <w:szCs w:val="30"/>
        </w:rPr>
        <w:t>，</w:t>
      </w:r>
      <w:r>
        <w:rPr>
          <w:rFonts w:hint="eastAsia" w:ascii="Times New Roman" w:hAnsi="Times New Roman" w:eastAsia="仿宋"/>
          <w:color w:val="auto"/>
          <w:sz w:val="30"/>
          <w:szCs w:val="30"/>
          <w:shd w:val="clear" w:color="auto" w:fill="FFFFFF"/>
          <w:lang w:bidi="ar"/>
        </w:rPr>
        <w:t>依托阳泰集团洗选配煤基地和“优煤易购”销售平台优势，提高清洁煤炭销售集约化程度，增强煤炭市场话语权</w:t>
      </w:r>
      <w:r>
        <w:rPr>
          <w:rFonts w:hint="eastAsia" w:ascii="Times New Roman" w:hAnsi="Times New Roman" w:eastAsia="仿宋"/>
          <w:color w:val="auto"/>
          <w:sz w:val="30"/>
          <w:szCs w:val="30"/>
        </w:rPr>
        <w:t>。</w:t>
      </w:r>
      <w:r>
        <w:rPr>
          <w:rFonts w:ascii="Times New Roman" w:hAnsi="Times New Roman" w:eastAsia="仿宋"/>
          <w:color w:val="auto"/>
          <w:sz w:val="30"/>
          <w:szCs w:val="30"/>
        </w:rPr>
        <w:t>构建以能源利用为核心的智能化能源综合服务体系，推动能源企业转型为集供电、供气、供暖等为一体的智慧绿色能源综合服务商。</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18" w:name="_Toc6212"/>
      <w:r>
        <w:rPr>
          <w:rFonts w:hint="eastAsia" w:ascii="Times New Roman" w:hAnsi="Times New Roman" w:eastAsia="仿宋"/>
          <w:b/>
          <w:bCs/>
          <w:color w:val="auto"/>
          <w:sz w:val="32"/>
          <w:szCs w:val="32"/>
        </w:rPr>
        <w:t>（七）推动线上线下融合，引领新型消费加快发展</w:t>
      </w:r>
      <w:bookmarkEnd w:id="18"/>
    </w:p>
    <w:p>
      <w:pPr>
        <w:pStyle w:val="14"/>
        <w:shd w:val="clear" w:color="auto" w:fill="FFFFFF"/>
        <w:spacing w:before="0" w:beforeAutospacing="0" w:after="0" w:afterAutospacing="0" w:line="360" w:lineRule="auto"/>
        <w:ind w:firstLine="600" w:firstLineChars="200"/>
        <w:rPr>
          <w:rFonts w:ascii="Times New Roman" w:hAnsi="Times New Roman" w:eastAsia="仿宋"/>
          <w:color w:val="auto"/>
          <w:sz w:val="30"/>
          <w:szCs w:val="30"/>
        </w:rPr>
      </w:pPr>
      <w:r>
        <w:rPr>
          <w:rFonts w:hint="eastAsia" w:ascii="Times New Roman" w:hAnsi="Times New Roman" w:eastAsia="仿宋"/>
          <w:color w:val="auto"/>
          <w:sz w:val="30"/>
          <w:szCs w:val="30"/>
        </w:rPr>
        <w:t>聚焦医疗卫生、文化教育、社区服务等民生领域，顺应居民消费模式和消费习惯变化，深化消费领域供给侧结构性改革，推动互联网和各类消费业态紧密融合，加快线上线下消费双向深度融合，不断增加高品质的产品和服务供给，促进新型消费蓬勃发展，切实增强消费对经济发展的基础性作用，更好满足人民群众多元化、品质化消费需求。</w:t>
      </w:r>
    </w:p>
    <w:p>
      <w:pPr>
        <w:ind w:firstLine="602" w:firstLineChars="200"/>
        <w:rPr>
          <w:rFonts w:ascii="Times New Roman" w:hAnsi="Times New Roman" w:eastAsia="仿宋"/>
          <w:b/>
          <w:bCs/>
          <w:color w:val="auto"/>
          <w:sz w:val="30"/>
          <w:szCs w:val="30"/>
        </w:rPr>
      </w:pPr>
      <w:r>
        <w:rPr>
          <w:rFonts w:hint="eastAsia" w:ascii="Times New Roman" w:hAnsi="Times New Roman" w:eastAsia="仿宋"/>
          <w:b/>
          <w:bCs/>
          <w:color w:val="auto"/>
          <w:sz w:val="30"/>
          <w:szCs w:val="30"/>
        </w:rPr>
        <w:t>1.以数字化驱动教育发展</w:t>
      </w:r>
    </w:p>
    <w:p>
      <w:pPr>
        <w:ind w:firstLine="600" w:firstLineChars="200"/>
        <w:rPr>
          <w:rFonts w:ascii="Times New Roman" w:hAnsi="Times New Roman" w:eastAsia="仿宋"/>
          <w:color w:val="auto"/>
          <w:sz w:val="30"/>
          <w:szCs w:val="30"/>
        </w:rPr>
      </w:pPr>
      <w:r>
        <w:rPr>
          <w:rFonts w:hint="eastAsia" w:ascii="Times New Roman" w:hAnsi="Times New Roman" w:eastAsia="仿宋"/>
          <w:color w:val="auto"/>
          <w:sz w:val="30"/>
          <w:szCs w:val="30"/>
        </w:rPr>
        <w:t>鼓励学校利用数字教育资源及教育服务平台，逐步探索网络化教育新模式，扩大优质教育资源覆盖面，促进教育公平。选择部分学校开展互联网教学试点，推进智慧校园建设。鼓励学校通过与互联网企业合作等方式，对接线上线下教育资源，探索基础教育、职业教育等教育公共服务提供新方式。鼓励和支持各类平台型企业运用人工智能等技术开发智慧教育业务，探索“互联网+”教育等未来教育新模式。</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仿宋"/>
          <w:color w:val="auto"/>
          <w:sz w:val="30"/>
          <w:szCs w:val="30"/>
        </w:rPr>
      </w:pPr>
      <w:r>
        <w:rPr>
          <w:rFonts w:hint="eastAsia" w:eastAsia="仿宋"/>
          <w:color w:val="auto"/>
          <w:sz w:val="30"/>
          <w:szCs w:val="30"/>
        </w:rPr>
        <w:t>结合</w:t>
      </w:r>
      <w:r>
        <w:rPr>
          <w:rFonts w:hint="eastAsia" w:eastAsia="仿宋"/>
          <w:color w:val="auto"/>
          <w:sz w:val="30"/>
          <w:szCs w:val="30"/>
        </w:rPr>
        <w:t>互联网发展，及时组织或合作开展直播电商等新形式、新技术的应用培训，</w:t>
      </w:r>
      <w:r>
        <w:rPr>
          <w:rFonts w:eastAsia="仿宋"/>
          <w:color w:val="auto"/>
          <w:sz w:val="30"/>
          <w:szCs w:val="30"/>
        </w:rPr>
        <w:t>针对不同层次和类别人员安排培训内容，重点面向县乡村机关和大学生村官、驻村第一书记等基层干部、农村电商站点负责人、企业和合作社人员、农民、返乡大学生、退伍军人、贫困人口、个体经营户、农村妇女和具备创业能力的残疾人等，根据培训内容，灵活采取课堂教学、现场教学、实地考察、实操演练、线上线下结合等多种形式开展培训</w:t>
      </w:r>
      <w:r>
        <w:rPr>
          <w:rFonts w:hint="eastAsia" w:eastAsia="仿宋"/>
          <w:color w:val="auto"/>
          <w:sz w:val="30"/>
          <w:szCs w:val="30"/>
        </w:rPr>
        <w:t>。</w:t>
      </w:r>
      <w:r>
        <w:rPr>
          <w:rFonts w:eastAsia="仿宋"/>
          <w:color w:val="auto"/>
          <w:sz w:val="30"/>
          <w:szCs w:val="30"/>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6"/>
              <w:ind w:firstLine="2811" w:firstLineChars="1000"/>
              <w:rPr>
                <w:rFonts w:ascii="Times New Roman" w:hAnsi="Times New Roman" w:eastAsia="仿宋"/>
                <w:b/>
                <w:bCs/>
                <w:color w:val="auto"/>
                <w:kern w:val="2"/>
                <w:sz w:val="28"/>
                <w:szCs w:val="28"/>
              </w:rPr>
            </w:pPr>
            <w:r>
              <w:rPr>
                <w:rFonts w:hint="eastAsia" w:ascii="Times New Roman" w:hAnsi="Times New Roman" w:eastAsia="仿宋"/>
                <w:b/>
                <w:bCs/>
                <w:color w:val="auto"/>
                <w:kern w:val="2"/>
                <w:sz w:val="28"/>
                <w:szCs w:val="28"/>
              </w:rPr>
              <w:t>专栏3 教育专栏</w:t>
            </w:r>
          </w:p>
          <w:p>
            <w:pPr>
              <w:pStyle w:val="16"/>
              <w:ind w:left="0" w:leftChars="0" w:firstLine="560"/>
              <w:rPr>
                <w:rFonts w:ascii="Times New Roman" w:hAnsi="Times New Roman" w:eastAsia="仿宋"/>
                <w:b/>
                <w:bCs/>
                <w:color w:val="auto"/>
                <w:kern w:val="2"/>
                <w:sz w:val="32"/>
                <w:szCs w:val="32"/>
              </w:rPr>
            </w:pPr>
            <w:r>
              <w:rPr>
                <w:rFonts w:hint="eastAsia" w:ascii="Times New Roman" w:hAnsi="Times New Roman" w:eastAsia="仿宋" w:cs="仿宋_GB2312"/>
                <w:color w:val="auto"/>
                <w:kern w:val="0"/>
                <w:sz w:val="28"/>
                <w:szCs w:val="28"/>
                <w:lang w:bidi="ar"/>
              </w:rPr>
              <w:t>智慧平台教育建设项目。对教育局教学中心、91所中小学校设施进行升级改造，搭建阳城县中小学教学、服务、管理三合一综合信息化平台。</w:t>
            </w:r>
          </w:p>
        </w:tc>
      </w:tr>
    </w:tbl>
    <w:p>
      <w:pPr>
        <w:pStyle w:val="5"/>
        <w:ind w:firstLine="0" w:firstLineChars="0"/>
        <w:rPr>
          <w:rFonts w:eastAsia="仿宋"/>
          <w:color w:val="auto"/>
        </w:rPr>
      </w:pPr>
    </w:p>
    <w:p>
      <w:pPr>
        <w:ind w:firstLine="602" w:firstLineChars="200"/>
        <w:rPr>
          <w:rFonts w:ascii="Times New Roman" w:hAnsi="Times New Roman" w:eastAsia="仿宋"/>
          <w:b/>
          <w:bCs/>
          <w:color w:val="auto"/>
          <w:sz w:val="30"/>
          <w:szCs w:val="30"/>
        </w:rPr>
      </w:pPr>
      <w:r>
        <w:rPr>
          <w:rFonts w:hint="eastAsia" w:ascii="Times New Roman" w:hAnsi="Times New Roman" w:eastAsia="仿宋"/>
          <w:b/>
          <w:bCs/>
          <w:color w:val="auto"/>
          <w:sz w:val="30"/>
          <w:szCs w:val="30"/>
        </w:rPr>
        <w:t>2.加快人工智能等技术与医药健康的交叉融合</w:t>
      </w:r>
    </w:p>
    <w:p>
      <w:pPr>
        <w:ind w:firstLine="600" w:firstLineChars="200"/>
        <w:rPr>
          <w:rFonts w:ascii="Times New Roman" w:hAnsi="Times New Roman" w:eastAsia="仿宋" w:cs="仿宋"/>
          <w:color w:val="auto"/>
          <w:sz w:val="30"/>
          <w:szCs w:val="30"/>
        </w:rPr>
      </w:pPr>
      <w:r>
        <w:rPr>
          <w:rFonts w:hint="eastAsia" w:ascii="Times New Roman" w:hAnsi="Times New Roman" w:eastAsia="仿宋" w:cs="仿宋"/>
          <w:color w:val="auto"/>
          <w:sz w:val="30"/>
          <w:szCs w:val="30"/>
        </w:rPr>
        <w:t>加快推进互联网医院建设，引入人工智能、5G、区块链、物联网、身份认证等技术，整合线上线下医疗资源，实现信息与资源共享，进一步扩大电子健康病历共享范围，推动医学检验项目、医学影像检查和影像资料互认，加快预导诊机器人、语音录入、人工智能辅助诊疗等技术布局，积极利用移动互联网提供在线预约诊疗、候诊提醒、划价缴费、诊疗报告查询、药品配送等便捷服务，推动医院内部流程再造，提高医疗质量和效率，为市民提供高效、便捷、智能的诊疗服务。</w:t>
      </w:r>
    </w:p>
    <w:p>
      <w:pPr>
        <w:ind w:firstLine="600" w:firstLineChars="200"/>
        <w:rPr>
          <w:rFonts w:ascii="Times New Roman" w:hAnsi="Times New Roman" w:eastAsia="仿宋" w:cs="仿宋"/>
          <w:color w:val="auto"/>
          <w:sz w:val="30"/>
          <w:szCs w:val="30"/>
        </w:rPr>
      </w:pPr>
      <w:r>
        <w:rPr>
          <w:rFonts w:hint="eastAsia" w:ascii="Times New Roman" w:hAnsi="Times New Roman" w:eastAsia="仿宋" w:cs="仿宋"/>
          <w:color w:val="auto"/>
          <w:sz w:val="30"/>
          <w:szCs w:val="30"/>
        </w:rPr>
        <w:t>鼓励互联网企业与医疗机构合作建立医疗网络信息平台，引导建设连通各级医疗卫生机构的“疫情数据报送系统”，充分利用互联网、大数据等手段，提高重大疾病和突发公共卫生事件防控能力。</w:t>
      </w:r>
    </w:p>
    <w:p>
      <w:pPr>
        <w:pStyle w:val="5"/>
        <w:spacing w:after="0"/>
        <w:ind w:firstLine="600"/>
        <w:rPr>
          <w:rFonts w:eastAsia="仿宋" w:cs="仿宋"/>
          <w:color w:val="auto"/>
          <w:sz w:val="30"/>
          <w:szCs w:val="30"/>
        </w:rPr>
      </w:pPr>
      <w:r>
        <w:rPr>
          <w:rFonts w:hint="eastAsia" w:eastAsia="仿宋" w:cs="仿宋"/>
          <w:color w:val="auto"/>
          <w:sz w:val="30"/>
          <w:szCs w:val="30"/>
        </w:rPr>
        <w:t>促进智慧健康养老产业发展。支持智能健康产品创新和应用，推广全面量化健康生活新方式。鼓励健康服务机构利用云计算、大数据等技术搭建公共信息平台，实施演礼大健康产业园建设项目、演礼新城全科盟大健康产业技术研究院建设项目，提供长期跟踪、预测预警的个性化健康管理服务。发展第三方在线健康市场调查、咨询评价、预防管理等应用服务，提升规范化和专业化运营水平。依托现有互联网资源和社会力量，以社区为基础，搭建养老信息服务网络平台，实施凤南区医养综合体建设项目，提供护理看护、健康管理、康复照料等居家养老服务。鼓励养老服务机构应用基于移动互联网的便携式体检、紧急呼叫监控等设备，提高养老服务水平。</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6"/>
              <w:ind w:left="0" w:leftChars="0" w:firstLine="0" w:firstLineChars="0"/>
              <w:jc w:val="center"/>
              <w:rPr>
                <w:rFonts w:ascii="Times New Roman" w:hAnsi="Times New Roman" w:eastAsia="仿宋"/>
                <w:b/>
                <w:bCs/>
                <w:color w:val="auto"/>
                <w:kern w:val="2"/>
                <w:sz w:val="28"/>
                <w:szCs w:val="28"/>
              </w:rPr>
            </w:pPr>
            <w:r>
              <w:rPr>
                <w:rFonts w:hint="eastAsia" w:ascii="Times New Roman" w:hAnsi="Times New Roman" w:eastAsia="仿宋"/>
                <w:b/>
                <w:bCs/>
                <w:color w:val="auto"/>
                <w:kern w:val="2"/>
                <w:sz w:val="28"/>
                <w:szCs w:val="28"/>
              </w:rPr>
              <w:t>专栏4 医养新业态</w:t>
            </w:r>
          </w:p>
          <w:p>
            <w:pPr>
              <w:pStyle w:val="16"/>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（1）演礼大健康产业园及基础设施建设项目。建设以医疗、药品、器械及其他耗材产销、应用为主体的医疗产业及基础设施配套建设等。</w:t>
            </w:r>
          </w:p>
          <w:p>
            <w:pPr>
              <w:pStyle w:val="16"/>
              <w:ind w:left="0" w:leftChars="0" w:firstLine="560"/>
              <w:rPr>
                <w:rFonts w:ascii="Times New Roman" w:hAnsi="Times New Roman" w:eastAsia="仿宋" w:cs="仿宋_GB2312"/>
                <w:color w:val="auto"/>
                <w:kern w:val="0"/>
                <w:sz w:val="28"/>
                <w:szCs w:val="28"/>
                <w:lang w:bidi="ar"/>
              </w:rPr>
            </w:pPr>
            <w:r>
              <w:rPr>
                <w:rFonts w:hint="eastAsia" w:ascii="Times New Roman" w:hAnsi="Times New Roman" w:eastAsia="仿宋" w:cs="仿宋_GB2312"/>
                <w:color w:val="auto"/>
                <w:kern w:val="0"/>
                <w:sz w:val="28"/>
                <w:szCs w:val="28"/>
                <w:lang w:bidi="ar"/>
              </w:rPr>
              <w:t>（2）演礼新城全科盟大健康产业技术研究院建设项目。项目占地100亩，建设办公楼、研究中心、实验室、中试基地及配套设施共60000㎡，能够容纳200-300名研发人员从事产业技术研发。</w:t>
            </w:r>
          </w:p>
          <w:p>
            <w:pPr>
              <w:pStyle w:val="16"/>
              <w:ind w:left="0" w:leftChars="0" w:firstLine="560"/>
              <w:rPr>
                <w:rFonts w:ascii="Times New Roman" w:hAnsi="Times New Roman" w:eastAsia="仿宋" w:cs="仿宋_GB2312"/>
                <w:color w:val="auto"/>
                <w:kern w:val="0"/>
                <w:sz w:val="24"/>
                <w:lang w:bidi="ar"/>
              </w:rPr>
            </w:pPr>
            <w:r>
              <w:rPr>
                <w:rFonts w:hint="eastAsia" w:ascii="Times New Roman" w:hAnsi="Times New Roman" w:eastAsia="仿宋" w:cs="仿宋_GB2312"/>
                <w:color w:val="auto"/>
                <w:kern w:val="0"/>
                <w:sz w:val="28"/>
                <w:szCs w:val="28"/>
                <w:lang w:bidi="ar"/>
              </w:rPr>
              <w:t>（3）凤南区医养综合体建设项目。规划用地面积2.2公顷，总建筑面积30000㎡，建设理疗中心、保健楼、老年公寓、活动中心、康养公园等。</w:t>
            </w:r>
          </w:p>
        </w:tc>
      </w:tr>
    </w:tbl>
    <w:p>
      <w:pPr>
        <w:pStyle w:val="5"/>
        <w:ind w:firstLine="0" w:firstLineChars="0"/>
        <w:rPr>
          <w:rFonts w:eastAsia="仿宋"/>
          <w:color w:val="auto"/>
        </w:rPr>
      </w:pPr>
    </w:p>
    <w:p>
      <w:pPr>
        <w:pStyle w:val="5"/>
        <w:ind w:firstLine="602"/>
        <w:rPr>
          <w:rFonts w:eastAsia="仿宋"/>
          <w:color w:val="auto"/>
          <w:sz w:val="30"/>
          <w:szCs w:val="30"/>
        </w:rPr>
      </w:pPr>
      <w:r>
        <w:rPr>
          <w:rFonts w:hint="eastAsia" w:eastAsia="仿宋" w:cs="仿宋"/>
          <w:b/>
          <w:bCs/>
          <w:color w:val="auto"/>
          <w:sz w:val="30"/>
          <w:szCs w:val="30"/>
        </w:rPr>
        <w:t>3.推动“互联网+”普惠金融发展</w:t>
      </w:r>
      <w:r>
        <w:rPr>
          <w:rFonts w:hint="eastAsia" w:eastAsia="仿宋" w:cs="仿宋"/>
          <w:b/>
          <w:bCs/>
          <w:color w:val="auto"/>
          <w:sz w:val="30"/>
          <w:szCs w:val="30"/>
        </w:rPr>
        <w:br w:type="textWrapping"/>
      </w:r>
      <w:r>
        <w:rPr>
          <w:rFonts w:hint="eastAsia" w:eastAsia="仿宋"/>
          <w:color w:val="auto"/>
          <w:sz w:val="30"/>
          <w:szCs w:val="30"/>
        </w:rPr>
        <w:t>　　促进互联网金融健康发展，全面提升互联网金融服务能力和普惠水平，鼓励互联网与银行、证券、保险的融合创新。支持金融企业与云计算技术提供商合作开展金融公共云服务，提供多样化、个性化、精准化的金融产品。鼓励各金融机构利用云计算、移动互联网、大数据等技术手段，加快金融产品和服务创新，在更广泛地区提供便利的存贷款、支付结算、信用中介平台等金融服务，拓宽普惠金融服务范围，为实体经济发展提供有效支撑。</w:t>
      </w:r>
    </w:p>
    <w:p>
      <w:pPr>
        <w:keepNext/>
        <w:keepLines/>
        <w:ind w:firstLine="602" w:firstLineChars="200"/>
        <w:rPr>
          <w:rFonts w:ascii="Times New Roman" w:hAnsi="Times New Roman" w:eastAsia="仿宋" w:cs="仿宋"/>
          <w:b/>
          <w:bCs/>
          <w:color w:val="auto"/>
          <w:sz w:val="30"/>
          <w:szCs w:val="30"/>
        </w:rPr>
      </w:pPr>
      <w:r>
        <w:rPr>
          <w:rFonts w:hint="eastAsia" w:ascii="Times New Roman" w:hAnsi="Times New Roman" w:eastAsia="仿宋" w:cs="仿宋"/>
          <w:b/>
          <w:bCs/>
          <w:color w:val="auto"/>
          <w:sz w:val="30"/>
          <w:szCs w:val="30"/>
        </w:rPr>
        <w:t>4.发展便民服务新业态</w:t>
      </w:r>
    </w:p>
    <w:p>
      <w:pPr>
        <w:ind w:firstLine="600"/>
        <w:rPr>
          <w:rFonts w:ascii="Times New Roman" w:hAnsi="Times New Roman" w:eastAsia="仿宋"/>
          <w:color w:val="auto"/>
          <w:sz w:val="30"/>
          <w:szCs w:val="30"/>
        </w:rPr>
      </w:pPr>
      <w:r>
        <w:rPr>
          <w:rFonts w:hint="eastAsia" w:ascii="Times New Roman" w:hAnsi="Times New Roman" w:eastAsia="仿宋"/>
          <w:color w:val="auto"/>
          <w:sz w:val="30"/>
          <w:szCs w:val="30"/>
        </w:rPr>
        <w:t>发展体验经济，支持实体零售商综合利用网上商店、移动支付、智能试衣等新技术，打造体验式购物模式。优化家庭服务业、餐饮业及其他服务行业的网点布局，加快商业提档升级工程，通过超市、便利店等的提档升级，适应互联网时代下消费变化，实现全渠道运营。</w:t>
      </w:r>
    </w:p>
    <w:p>
      <w:pPr>
        <w:pStyle w:val="5"/>
        <w:spacing w:after="0"/>
        <w:ind w:firstLine="600"/>
        <w:rPr>
          <w:rFonts w:eastAsia="仿宋"/>
          <w:color w:val="auto"/>
          <w:sz w:val="30"/>
          <w:szCs w:val="30"/>
        </w:rPr>
      </w:pPr>
      <w:r>
        <w:rPr>
          <w:rFonts w:hint="eastAsia" w:eastAsia="仿宋"/>
          <w:color w:val="auto"/>
          <w:sz w:val="30"/>
          <w:szCs w:val="30"/>
        </w:rPr>
        <w:t>实施</w:t>
      </w:r>
      <w:r>
        <w:rPr>
          <w:rFonts w:eastAsia="仿宋"/>
          <w:color w:val="auto"/>
          <w:sz w:val="30"/>
          <w:szCs w:val="30"/>
        </w:rPr>
        <w:t>夜间消费培育升级行动</w:t>
      </w:r>
      <w:r>
        <w:rPr>
          <w:rFonts w:hint="eastAsia" w:eastAsia="仿宋"/>
          <w:color w:val="auto"/>
          <w:sz w:val="30"/>
          <w:szCs w:val="30"/>
        </w:rPr>
        <w:t>，</w:t>
      </w:r>
      <w:r>
        <w:rPr>
          <w:rFonts w:eastAsia="仿宋"/>
          <w:color w:val="auto"/>
          <w:sz w:val="30"/>
          <w:szCs w:val="30"/>
        </w:rPr>
        <w:t>鼓励市区</w:t>
      </w:r>
      <w:r>
        <w:rPr>
          <w:rFonts w:hint="eastAsia" w:eastAsia="仿宋"/>
          <w:color w:val="auto"/>
          <w:sz w:val="30"/>
          <w:szCs w:val="30"/>
        </w:rPr>
        <w:t>主要</w:t>
      </w:r>
      <w:r>
        <w:rPr>
          <w:rFonts w:eastAsia="仿宋"/>
          <w:color w:val="auto"/>
          <w:sz w:val="30"/>
          <w:szCs w:val="30"/>
        </w:rPr>
        <w:t>街区、市场、有特色的传统小吃街、小夜市</w:t>
      </w:r>
      <w:r>
        <w:rPr>
          <w:rFonts w:hint="eastAsia" w:eastAsia="仿宋"/>
          <w:color w:val="auto"/>
          <w:sz w:val="30"/>
          <w:szCs w:val="30"/>
        </w:rPr>
        <w:t>和特色小镇等</w:t>
      </w:r>
      <w:r>
        <w:rPr>
          <w:rFonts w:eastAsia="仿宋"/>
          <w:color w:val="auto"/>
          <w:sz w:val="30"/>
          <w:szCs w:val="30"/>
        </w:rPr>
        <w:t>营造开放、有序、活跃的夜间经济环境，适当延长商业步行街、大型商超的营业时间和亮化景区、文体场所的开放时间</w:t>
      </w:r>
      <w:r>
        <w:rPr>
          <w:rFonts w:hint="eastAsia" w:eastAsia="仿宋"/>
          <w:color w:val="auto"/>
          <w:sz w:val="30"/>
          <w:szCs w:val="30"/>
        </w:rPr>
        <w:t>，</w:t>
      </w:r>
      <w:r>
        <w:rPr>
          <w:rFonts w:eastAsia="仿宋"/>
          <w:color w:val="auto"/>
          <w:sz w:val="30"/>
          <w:szCs w:val="30"/>
        </w:rPr>
        <w:t>鼓励特色商业街区举办</w:t>
      </w:r>
      <w:r>
        <w:rPr>
          <w:rFonts w:hint="eastAsia" w:eastAsia="仿宋"/>
          <w:color w:val="auto"/>
          <w:sz w:val="30"/>
          <w:szCs w:val="30"/>
        </w:rPr>
        <w:t>“</w:t>
      </w:r>
      <w:r>
        <w:rPr>
          <w:rFonts w:eastAsia="仿宋"/>
          <w:color w:val="auto"/>
          <w:sz w:val="30"/>
          <w:szCs w:val="30"/>
        </w:rPr>
        <w:t>深夜食堂</w:t>
      </w:r>
      <w:r>
        <w:rPr>
          <w:rFonts w:hint="eastAsia" w:eastAsia="仿宋"/>
          <w:color w:val="auto"/>
          <w:sz w:val="30"/>
          <w:szCs w:val="30"/>
        </w:rPr>
        <w:t>”</w:t>
      </w:r>
      <w:r>
        <w:rPr>
          <w:rFonts w:eastAsia="仿宋"/>
          <w:color w:val="auto"/>
          <w:sz w:val="30"/>
          <w:szCs w:val="30"/>
        </w:rPr>
        <w:t>、灯光秀等夜间主题活动</w:t>
      </w:r>
      <w:r>
        <w:rPr>
          <w:rFonts w:hint="eastAsia" w:eastAsia="仿宋"/>
          <w:color w:val="auto"/>
          <w:sz w:val="30"/>
          <w:szCs w:val="30"/>
        </w:rPr>
        <w:t>，</w:t>
      </w:r>
      <w:r>
        <w:rPr>
          <w:rFonts w:eastAsia="仿宋"/>
          <w:color w:val="auto"/>
          <w:sz w:val="30"/>
          <w:szCs w:val="30"/>
        </w:rPr>
        <w:t>持续推动夜间消费促进活动。丰富夜间消费产品</w:t>
      </w:r>
      <w:r>
        <w:rPr>
          <w:rFonts w:hint="eastAsia" w:eastAsia="仿宋"/>
          <w:color w:val="auto"/>
          <w:sz w:val="30"/>
          <w:szCs w:val="30"/>
        </w:rPr>
        <w:t>，</w:t>
      </w:r>
      <w:r>
        <w:rPr>
          <w:rFonts w:eastAsia="仿宋"/>
          <w:color w:val="auto"/>
          <w:sz w:val="30"/>
          <w:szCs w:val="30"/>
        </w:rPr>
        <w:t>推动公共图书馆、博物馆、美术馆、文化馆和综合文化站免费开放、夜间开放。</w:t>
      </w:r>
    </w:p>
    <w:p>
      <w:pPr>
        <w:ind w:firstLine="600"/>
        <w:rPr>
          <w:rFonts w:ascii="Times New Roman" w:hAnsi="Times New Roman" w:eastAsia="仿宋"/>
          <w:color w:val="auto"/>
          <w:sz w:val="30"/>
          <w:szCs w:val="30"/>
        </w:rPr>
      </w:pPr>
      <w:r>
        <w:rPr>
          <w:rFonts w:hint="eastAsia" w:ascii="Times New Roman" w:hAnsi="Times New Roman" w:eastAsia="仿宋"/>
          <w:color w:val="auto"/>
          <w:sz w:val="30"/>
          <w:szCs w:val="30"/>
        </w:rPr>
        <w:t>发展社区经济，加快规划建设便民生活服务圈，在城区打造15分钟商贸圈、在农村打造半小时商贸圈。鼓励有条件的街区加快数字化改造，提供全方位数字生活新服务。完善社区便民消费设施，建设城市社区邻里中心和农村社区综合性服务网点，优化社区商业网点，提高便民商业服务水平。</w:t>
      </w:r>
    </w:p>
    <w:p>
      <w:pPr>
        <w:ind w:firstLine="600"/>
        <w:rPr>
          <w:rFonts w:ascii="Times New Roman" w:hAnsi="Times New Roman" w:eastAsia="仿宋"/>
          <w:color w:val="auto"/>
          <w:sz w:val="30"/>
          <w:szCs w:val="30"/>
        </w:rPr>
      </w:pPr>
      <w:r>
        <w:rPr>
          <w:rFonts w:hint="eastAsia" w:ascii="Times New Roman" w:hAnsi="Times New Roman" w:eastAsia="仿宋"/>
          <w:color w:val="auto"/>
          <w:sz w:val="30"/>
          <w:szCs w:val="30"/>
        </w:rPr>
        <w:t>发展共享经济，规范发展网络约租车，积极推广在线租房等新业态，着力破除准入门槛高、服务规范难、个人征信缺失等瓶颈制约。</w:t>
      </w:r>
    </w:p>
    <w:p>
      <w:pPr>
        <w:ind w:firstLine="600"/>
        <w:rPr>
          <w:rFonts w:ascii="Times New Roman" w:hAnsi="Times New Roman" w:eastAsia="仿宋"/>
          <w:color w:val="auto"/>
        </w:rPr>
      </w:pPr>
      <w:r>
        <w:rPr>
          <w:rFonts w:hint="eastAsia" w:ascii="Times New Roman" w:hAnsi="Times New Roman" w:eastAsia="仿宋"/>
          <w:color w:val="auto"/>
          <w:sz w:val="30"/>
          <w:szCs w:val="30"/>
        </w:rPr>
        <w:t>积极推广基于移动互联网入口的城市服务，开展网上社保办理、个人社保权益查询、跨地区医保结算等互联网应用，让老百姓足不出户享受便捷高效的服务。</w:t>
      </w:r>
    </w:p>
    <w:p>
      <w:pPr>
        <w:pStyle w:val="2"/>
        <w:spacing w:before="0" w:after="0" w:line="360" w:lineRule="auto"/>
        <w:ind w:firstLine="600" w:firstLineChars="200"/>
        <w:rPr>
          <w:rFonts w:ascii="黑体" w:hAnsi="黑体" w:eastAsia="黑体"/>
          <w:b w:val="0"/>
          <w:bCs w:val="0"/>
          <w:color w:val="auto"/>
          <w:sz w:val="30"/>
          <w:szCs w:val="30"/>
        </w:rPr>
      </w:pPr>
      <w:bookmarkStart w:id="19" w:name="_Toc16988"/>
      <w:bookmarkStart w:id="20" w:name="_Toc16882"/>
      <w:r>
        <w:rPr>
          <w:rFonts w:hint="eastAsia" w:ascii="黑体" w:hAnsi="黑体" w:eastAsia="黑体"/>
          <w:b w:val="0"/>
          <w:bCs w:val="0"/>
          <w:color w:val="auto"/>
          <w:sz w:val="30"/>
          <w:szCs w:val="30"/>
        </w:rPr>
        <w:t>四、</w:t>
      </w:r>
      <w:r>
        <w:rPr>
          <w:rFonts w:ascii="黑体" w:hAnsi="黑体" w:eastAsia="黑体"/>
          <w:b w:val="0"/>
          <w:bCs w:val="0"/>
          <w:color w:val="auto"/>
          <w:sz w:val="30"/>
          <w:szCs w:val="30"/>
        </w:rPr>
        <w:t>政策支持</w:t>
      </w:r>
      <w:bookmarkEnd w:id="19"/>
      <w:bookmarkEnd w:id="20"/>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21" w:name="_Toc14772"/>
      <w:bookmarkStart w:id="22" w:name="_Toc9780"/>
      <w:bookmarkStart w:id="23" w:name="_Toc12897067"/>
      <w:r>
        <w:rPr>
          <w:rFonts w:hint="eastAsia" w:ascii="Times New Roman" w:hAnsi="Times New Roman" w:eastAsia="仿宋"/>
          <w:b/>
          <w:bCs/>
          <w:color w:val="auto"/>
          <w:sz w:val="32"/>
          <w:szCs w:val="32"/>
        </w:rPr>
        <w:t>（一）加大财政扶持政策</w:t>
      </w:r>
      <w:bookmarkEnd w:id="21"/>
      <w:bookmarkEnd w:id="22"/>
    </w:p>
    <w:p>
      <w:pPr>
        <w:ind w:firstLine="640" w:firstLineChars="200"/>
        <w:rPr>
          <w:rFonts w:ascii="Times New Roman" w:hAnsi="Times New Roman" w:eastAsia="仿宋"/>
          <w:color w:val="auto"/>
          <w:sz w:val="32"/>
          <w:szCs w:val="32"/>
          <w:lang w:bidi="ar"/>
        </w:rPr>
      </w:pPr>
      <w:r>
        <w:rPr>
          <w:rFonts w:hint="eastAsia" w:ascii="Times New Roman" w:hAnsi="Times New Roman" w:eastAsia="仿宋"/>
          <w:color w:val="auto"/>
          <w:sz w:val="32"/>
          <w:szCs w:val="32"/>
          <w:lang w:bidi="ar"/>
        </w:rPr>
        <w:t>落实国家财政扶持政策，发挥财政导向和激励作用。支持财政资金向新业态新模式倾斜，重点支持相关领域重大项目建设。通过设立工业转型升级发展基金，支持新一代信息技术产业、高档数控机床和机器人、节能与新能源汽车等新兴产业领域项目，</w:t>
      </w:r>
      <w:r>
        <w:rPr>
          <w:rFonts w:ascii="Times New Roman" w:hAnsi="Times New Roman" w:eastAsia="仿宋"/>
          <w:color w:val="auto"/>
          <w:sz w:val="32"/>
          <w:szCs w:val="32"/>
          <w:lang w:bidi="ar"/>
        </w:rPr>
        <w:t>对于企业新业态的技术创新、模式创新，给予专项资金等支持</w:t>
      </w:r>
      <w:r>
        <w:rPr>
          <w:rFonts w:hint="eastAsia" w:ascii="Times New Roman" w:hAnsi="Times New Roman" w:eastAsia="仿宋"/>
          <w:color w:val="auto"/>
          <w:sz w:val="32"/>
          <w:szCs w:val="32"/>
          <w:lang w:bidi="ar"/>
        </w:rPr>
        <w:t>；设立中小微企业发展专项资金，对中小微企业融资风险补偿、中小企业公共服务平台、融资租赁业务、首次进入证券市场挂牌项目和企业予以奖补；设立新业态发展专项投资基金，通过股权投资和专业化管理相结合，重点支持处于“蹒跚”起步阶段但发展前景好的创新型企业。</w:t>
      </w:r>
      <w:r>
        <w:rPr>
          <w:rFonts w:ascii="Times New Roman" w:hAnsi="Times New Roman" w:eastAsia="仿宋"/>
          <w:color w:val="auto"/>
          <w:sz w:val="32"/>
          <w:szCs w:val="32"/>
          <w:lang w:bidi="ar"/>
        </w:rPr>
        <w:t>完善政府各类扶持资金支持方式，综合运用资本金注入、融资担保、无偿资助和贷款贴息等方式，加大对人才培养、设计研发、技术引进、知识产权保护、新业态孵化器等“软投入”。</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24" w:name="_Toc2748"/>
      <w:r>
        <w:rPr>
          <w:rFonts w:hint="eastAsia" w:ascii="Times New Roman" w:hAnsi="Times New Roman" w:eastAsia="仿宋"/>
          <w:b/>
          <w:bCs/>
          <w:color w:val="auto"/>
          <w:sz w:val="32"/>
          <w:szCs w:val="32"/>
        </w:rPr>
        <w:t>（二）</w:t>
      </w:r>
      <w:r>
        <w:rPr>
          <w:rFonts w:hint="eastAsia" w:ascii="Times New Roman" w:hAnsi="Times New Roman" w:eastAsia="仿宋"/>
          <w:b/>
          <w:bCs/>
          <w:color w:val="auto"/>
          <w:sz w:val="32"/>
          <w:szCs w:val="32"/>
          <w:lang w:val="en-US" w:eastAsia="zh-CN"/>
        </w:rPr>
        <w:t>提供</w:t>
      </w:r>
      <w:r>
        <w:rPr>
          <w:rFonts w:hint="eastAsia" w:ascii="Times New Roman" w:hAnsi="Times New Roman" w:eastAsia="仿宋"/>
          <w:b/>
          <w:bCs/>
          <w:color w:val="auto"/>
          <w:sz w:val="32"/>
          <w:szCs w:val="32"/>
        </w:rPr>
        <w:t>税收优惠政策</w:t>
      </w:r>
      <w:bookmarkEnd w:id="24"/>
    </w:p>
    <w:p>
      <w:pPr>
        <w:pStyle w:val="13"/>
        <w:spacing w:line="360" w:lineRule="auto"/>
        <w:ind w:left="0" w:firstLine="640" w:firstLineChars="200"/>
        <w:jc w:val="both"/>
        <w:rPr>
          <w:rFonts w:ascii="Times New Roman" w:hAnsi="Times New Roman" w:eastAsia="仿宋"/>
          <w:color w:val="auto"/>
          <w:szCs w:val="32"/>
          <w:lang w:bidi="ar"/>
        </w:rPr>
      </w:pPr>
      <w:r>
        <w:rPr>
          <w:rFonts w:hint="eastAsia" w:ascii="Times New Roman" w:hAnsi="Times New Roman" w:eastAsia="仿宋"/>
          <w:color w:val="auto"/>
          <w:szCs w:val="32"/>
          <w:lang w:bidi="ar"/>
        </w:rPr>
        <w:t>落实国家税收优惠政策，发挥税收导向和引领作用。落实好新业态企业所得税减免、研发费用加计扣除、股权激励等各项税收优惠政策，研究进一步对新型消费领域企业优化税收征管措施，更好发挥减税降费政策效应。</w:t>
      </w:r>
    </w:p>
    <w:bookmarkEnd w:id="23"/>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25" w:name="_Toc12897068"/>
      <w:bookmarkStart w:id="26" w:name="_Toc28656"/>
      <w:bookmarkStart w:id="27" w:name="_Toc18860"/>
      <w:r>
        <w:rPr>
          <w:rFonts w:hint="eastAsia" w:ascii="Times New Roman" w:hAnsi="Times New Roman" w:eastAsia="仿宋"/>
          <w:b/>
          <w:bCs/>
          <w:color w:val="auto"/>
          <w:sz w:val="32"/>
          <w:szCs w:val="32"/>
        </w:rPr>
        <w:t>（三）</w:t>
      </w:r>
      <w:r>
        <w:rPr>
          <w:rFonts w:hint="eastAsia" w:ascii="Times New Roman" w:hAnsi="Times New Roman" w:eastAsia="仿宋"/>
          <w:b/>
          <w:bCs/>
          <w:color w:val="auto"/>
          <w:sz w:val="32"/>
          <w:szCs w:val="32"/>
          <w:lang w:val="en-US" w:eastAsia="zh-CN"/>
        </w:rPr>
        <w:t>强化</w:t>
      </w:r>
      <w:r>
        <w:rPr>
          <w:rFonts w:ascii="Times New Roman" w:hAnsi="Times New Roman" w:eastAsia="仿宋"/>
          <w:b/>
          <w:bCs/>
          <w:color w:val="auto"/>
          <w:sz w:val="32"/>
          <w:szCs w:val="32"/>
        </w:rPr>
        <w:t>金融支持</w:t>
      </w:r>
      <w:bookmarkEnd w:id="25"/>
      <w:bookmarkStart w:id="28" w:name="_Toc12897069"/>
      <w:r>
        <w:rPr>
          <w:rFonts w:hint="eastAsia" w:ascii="Times New Roman" w:hAnsi="Times New Roman" w:eastAsia="仿宋"/>
          <w:b/>
          <w:bCs/>
          <w:color w:val="auto"/>
          <w:sz w:val="32"/>
          <w:szCs w:val="32"/>
        </w:rPr>
        <w:t>政策</w:t>
      </w:r>
      <w:bookmarkEnd w:id="26"/>
      <w:bookmarkEnd w:id="27"/>
    </w:p>
    <w:p>
      <w:pPr>
        <w:ind w:firstLine="640" w:firstLineChars="200"/>
        <w:rPr>
          <w:rFonts w:ascii="Times New Roman" w:hAnsi="Times New Roman" w:eastAsia="仿宋"/>
          <w:color w:val="auto"/>
          <w:sz w:val="32"/>
          <w:szCs w:val="32"/>
          <w:lang w:bidi="ar"/>
        </w:rPr>
      </w:pPr>
      <w:r>
        <w:rPr>
          <w:rFonts w:ascii="Times New Roman" w:hAnsi="Times New Roman" w:eastAsia="仿宋"/>
          <w:color w:val="auto"/>
          <w:sz w:val="32"/>
          <w:szCs w:val="32"/>
          <w:lang w:bidi="ar"/>
        </w:rPr>
        <w:t>优化新业态投融资环境，推动新业态发展壮大。加大对新业态中小企业融资服务，加强对中小企业的上市培育</w:t>
      </w:r>
      <w:r>
        <w:rPr>
          <w:rFonts w:hint="eastAsia" w:ascii="Times New Roman" w:hAnsi="Times New Roman" w:eastAsia="仿宋"/>
          <w:color w:val="auto"/>
          <w:sz w:val="32"/>
          <w:szCs w:val="32"/>
          <w:lang w:bidi="ar"/>
        </w:rPr>
        <w:t>，</w:t>
      </w:r>
      <w:r>
        <w:rPr>
          <w:rFonts w:ascii="Times New Roman" w:hAnsi="Times New Roman" w:eastAsia="仿宋"/>
          <w:color w:val="auto"/>
          <w:sz w:val="32"/>
          <w:szCs w:val="32"/>
          <w:lang w:bidi="ar"/>
        </w:rPr>
        <w:t>拓宽融资渠道。</w:t>
      </w:r>
      <w:r>
        <w:rPr>
          <w:rFonts w:hint="eastAsia" w:ascii="Times New Roman" w:hAnsi="Times New Roman" w:eastAsia="仿宋"/>
          <w:color w:val="auto"/>
          <w:sz w:val="32"/>
          <w:szCs w:val="32"/>
          <w:lang w:bidi="ar"/>
        </w:rPr>
        <w:t>支持符合条件的新业态企业通过发行新股、发行公司债券、“新三板”挂牌等方式融资。精准帮扶中小微企业，完善中小微企业数据库，精准帮扶科技创新、基本生活性服务业等行业的中小微企业，特别是餐饮、住宿、旅游、影院剧场等受疫情影响严重的行业企业。</w:t>
      </w:r>
    </w:p>
    <w:p>
      <w:pPr>
        <w:ind w:firstLine="640" w:firstLineChars="200"/>
        <w:rPr>
          <w:rFonts w:ascii="Times New Roman" w:hAnsi="Times New Roman" w:eastAsia="仿宋"/>
          <w:color w:val="auto"/>
        </w:rPr>
      </w:pPr>
      <w:r>
        <w:rPr>
          <w:rFonts w:ascii="Times New Roman" w:hAnsi="Times New Roman" w:eastAsia="仿宋"/>
          <w:color w:val="auto"/>
          <w:sz w:val="32"/>
          <w:szCs w:val="32"/>
          <w:lang w:bidi="ar"/>
        </w:rPr>
        <w:t>鼓励和支持建立多种形式的新业态新模式发展风险投资基金和私募股权投资基金，通过奖励补贴、风险补偿、阶段参股等引导方式，为基金提供</w:t>
      </w:r>
      <w:r>
        <w:rPr>
          <w:rFonts w:hint="eastAsia" w:ascii="Times New Roman" w:hAnsi="Times New Roman" w:eastAsia="仿宋"/>
          <w:color w:val="auto"/>
          <w:sz w:val="32"/>
          <w:szCs w:val="32"/>
          <w:lang w:eastAsia="zh-CN" w:bidi="ar"/>
        </w:rPr>
        <w:t>“</w:t>
      </w:r>
      <w:r>
        <w:rPr>
          <w:rFonts w:ascii="Times New Roman" w:hAnsi="Times New Roman" w:eastAsia="仿宋"/>
          <w:color w:val="auto"/>
          <w:sz w:val="32"/>
          <w:szCs w:val="32"/>
          <w:lang w:bidi="ar"/>
        </w:rPr>
        <w:t>募资、投资、退出</w:t>
      </w:r>
      <w:r>
        <w:rPr>
          <w:rFonts w:hint="eastAsia" w:ascii="Times New Roman" w:hAnsi="Times New Roman" w:eastAsia="仿宋"/>
          <w:color w:val="auto"/>
          <w:sz w:val="32"/>
          <w:szCs w:val="32"/>
          <w:lang w:eastAsia="zh-CN" w:bidi="ar"/>
        </w:rPr>
        <w:t>”</w:t>
      </w:r>
      <w:r>
        <w:rPr>
          <w:rFonts w:ascii="Times New Roman" w:hAnsi="Times New Roman" w:eastAsia="仿宋"/>
          <w:color w:val="auto"/>
          <w:sz w:val="32"/>
          <w:szCs w:val="32"/>
          <w:lang w:bidi="ar"/>
        </w:rPr>
        <w:t>良性循环的发展环境。积极探索现代服务业企业轻资产融资抵押方式，扩大企业贷款抵质押品范围。通过设立科技促进专项基金、推出科技发展资助计划等方式，支持云计算、物联网、互联网关键技术、生物技术等重点领域的新业态企业，集中力量进行科技攻关。</w:t>
      </w:r>
    </w:p>
    <w:p>
      <w:pPr>
        <w:ind w:firstLine="640" w:firstLineChars="200"/>
        <w:rPr>
          <w:rFonts w:ascii="Times New Roman" w:hAnsi="Times New Roman" w:eastAsia="仿宋"/>
          <w:color w:val="auto"/>
          <w:sz w:val="32"/>
          <w:szCs w:val="32"/>
          <w:lang w:bidi="ar"/>
        </w:rPr>
      </w:pPr>
      <w:r>
        <w:rPr>
          <w:rFonts w:hint="eastAsia" w:ascii="Times New Roman" w:hAnsi="Times New Roman" w:eastAsia="仿宋"/>
          <w:color w:val="auto"/>
          <w:sz w:val="32"/>
          <w:szCs w:val="32"/>
          <w:lang w:bidi="ar"/>
        </w:rPr>
        <w:t>加强政银企数据共享，提高中小微企业首贷比例、信用贷款比例，大力推广供应链融资，鼓励银行强化首贷中心、续贷中心特色化产品配置，加强进驻银行考核评价。用好用足再贷款再贴现专项政策，健全知识产权质押融资风险分担机制。</w:t>
      </w:r>
      <w:bookmarkEnd w:id="28"/>
    </w:p>
    <w:p>
      <w:pPr>
        <w:ind w:firstLine="640" w:firstLineChars="200"/>
        <w:rPr>
          <w:rFonts w:ascii="Times New Roman" w:hAnsi="Times New Roman" w:eastAsia="仿宋"/>
          <w:color w:val="auto"/>
          <w:lang w:bidi="ar"/>
        </w:rPr>
      </w:pPr>
      <w:r>
        <w:rPr>
          <w:rFonts w:hint="eastAsia" w:ascii="Times New Roman" w:hAnsi="Times New Roman" w:eastAsia="仿宋"/>
          <w:color w:val="auto"/>
          <w:sz w:val="32"/>
          <w:szCs w:val="32"/>
          <w:lang w:bidi="ar"/>
        </w:rPr>
        <w:t>深化银企合作，鼓励金融机构按照市场化原则，在风险可控前提下，结合新业态领域相关企业经营特点，积极开发金融产品和服务。优化与新型消费相关的支付环境，鼓励银行等各类型支付清算服务主体降低手续费用，降低商家、消费者支付成本，推动银行卡、移动支付在便民消费领域广泛应用。</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29" w:name="_Toc24869"/>
      <w:bookmarkStart w:id="30" w:name="_Toc9715"/>
      <w:r>
        <w:rPr>
          <w:rFonts w:ascii="Times New Roman" w:hAnsi="Times New Roman" w:eastAsia="仿宋"/>
          <w:b/>
          <w:bCs/>
          <w:color w:val="auto"/>
          <w:sz w:val="32"/>
          <w:szCs w:val="32"/>
        </w:rPr>
        <w:t>（</w:t>
      </w:r>
      <w:r>
        <w:rPr>
          <w:rFonts w:hint="eastAsia" w:ascii="Times New Roman" w:hAnsi="Times New Roman" w:eastAsia="仿宋"/>
          <w:b/>
          <w:bCs/>
          <w:color w:val="auto"/>
          <w:sz w:val="32"/>
          <w:szCs w:val="32"/>
        </w:rPr>
        <w:t>四</w:t>
      </w:r>
      <w:r>
        <w:rPr>
          <w:rFonts w:ascii="Times New Roman" w:hAnsi="Times New Roman" w:eastAsia="仿宋"/>
          <w:b/>
          <w:bCs/>
          <w:color w:val="auto"/>
          <w:sz w:val="32"/>
          <w:szCs w:val="32"/>
        </w:rPr>
        <w:t>）</w:t>
      </w:r>
      <w:r>
        <w:rPr>
          <w:rFonts w:hint="eastAsia" w:ascii="Times New Roman" w:hAnsi="Times New Roman" w:eastAsia="仿宋"/>
          <w:b/>
          <w:bCs/>
          <w:color w:val="auto"/>
          <w:sz w:val="32"/>
          <w:szCs w:val="32"/>
          <w:lang w:val="en-US" w:eastAsia="zh-CN"/>
        </w:rPr>
        <w:t>健全社会保障体系</w:t>
      </w:r>
      <w:bookmarkEnd w:id="29"/>
      <w:bookmarkEnd w:id="30"/>
    </w:p>
    <w:p>
      <w:pPr>
        <w:pStyle w:val="13"/>
        <w:spacing w:line="660" w:lineRule="exact"/>
        <w:ind w:left="0" w:firstLine="640" w:firstLineChars="200"/>
        <w:jc w:val="both"/>
        <w:rPr>
          <w:rFonts w:ascii="Times New Roman" w:hAnsi="Times New Roman" w:eastAsia="仿宋" w:cs="仿宋"/>
          <w:color w:val="auto"/>
          <w:szCs w:val="32"/>
          <w:shd w:val="clear" w:color="auto" w:fill="FFFFFF"/>
          <w:lang w:bidi="ar"/>
        </w:rPr>
      </w:pPr>
      <w:r>
        <w:rPr>
          <w:rFonts w:hint="eastAsia" w:ascii="Times New Roman" w:hAnsi="Times New Roman" w:eastAsia="仿宋" w:cs="仿宋"/>
          <w:color w:val="auto"/>
          <w:szCs w:val="32"/>
          <w:shd w:val="clear" w:color="auto" w:fill="FFFFFF"/>
          <w:lang w:bidi="ar"/>
        </w:rPr>
        <w:t>鼓励发展支持灵活就业，加快制定并落实配套保障制度，努力做好子女入学、住房保障等公共服务。探索适应跨平台、多雇主间灵活就业的权益保障、社会保障等政策。完善新业态就业人员劳动权益保护、保费缴纳、薪酬等政策制度，明确平台企业在劳动者权益保障方面的相应责任，保障劳动者的基本报酬权、休息权和职业安全，明确参与各方的权利义务关系。促进新业态新模式从业人员参加社会保险，提高参保率。坚持失业保险基金优先保生活，通过发放失业保险金、一次性生活补助等多措并举，加快构建城乡参保失业人员应发尽发、应保尽保长效机制。推进失业保险金的线上便利化申领，方便群众办事。</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31" w:name="_Toc27079"/>
      <w:r>
        <w:rPr>
          <w:rFonts w:ascii="Times New Roman" w:hAnsi="Times New Roman" w:eastAsia="仿宋"/>
          <w:b/>
          <w:bCs/>
          <w:color w:val="auto"/>
          <w:sz w:val="32"/>
          <w:szCs w:val="32"/>
        </w:rPr>
        <w:t>（</w:t>
      </w:r>
      <w:r>
        <w:rPr>
          <w:rFonts w:hint="eastAsia" w:ascii="Times New Roman" w:hAnsi="Times New Roman" w:eastAsia="仿宋"/>
          <w:b/>
          <w:bCs/>
          <w:color w:val="auto"/>
          <w:sz w:val="32"/>
          <w:szCs w:val="32"/>
        </w:rPr>
        <w:t>五</w:t>
      </w:r>
      <w:r>
        <w:rPr>
          <w:rFonts w:ascii="Times New Roman" w:hAnsi="Times New Roman" w:eastAsia="仿宋"/>
          <w:b/>
          <w:bCs/>
          <w:color w:val="auto"/>
          <w:sz w:val="32"/>
          <w:szCs w:val="32"/>
        </w:rPr>
        <w:t>）</w:t>
      </w:r>
      <w:r>
        <w:rPr>
          <w:rFonts w:hint="eastAsia" w:ascii="Times New Roman" w:hAnsi="Times New Roman" w:eastAsia="仿宋"/>
          <w:b/>
          <w:bCs/>
          <w:color w:val="auto"/>
          <w:sz w:val="32"/>
          <w:szCs w:val="32"/>
          <w:lang w:val="en-US" w:eastAsia="zh-CN"/>
        </w:rPr>
        <w:t>完善</w:t>
      </w:r>
      <w:r>
        <w:rPr>
          <w:rFonts w:ascii="Times New Roman" w:hAnsi="Times New Roman" w:eastAsia="仿宋"/>
          <w:b/>
          <w:bCs/>
          <w:color w:val="auto"/>
          <w:sz w:val="32"/>
          <w:szCs w:val="32"/>
        </w:rPr>
        <w:t>人才引培政策</w:t>
      </w:r>
      <w:bookmarkEnd w:id="31"/>
    </w:p>
    <w:p>
      <w:pPr>
        <w:pStyle w:val="13"/>
        <w:spacing w:line="660" w:lineRule="exact"/>
        <w:ind w:left="0" w:firstLine="640" w:firstLineChars="200"/>
        <w:jc w:val="both"/>
        <w:rPr>
          <w:rFonts w:ascii="Times New Roman" w:hAnsi="Times New Roman" w:eastAsia="仿宋"/>
          <w:color w:val="auto"/>
          <w:lang w:bidi="ar"/>
        </w:rPr>
      </w:pPr>
      <w:r>
        <w:rPr>
          <w:rFonts w:ascii="Times New Roman" w:hAnsi="Times New Roman" w:eastAsia="仿宋" w:cs="仿宋"/>
          <w:color w:val="auto"/>
          <w:szCs w:val="32"/>
          <w:shd w:val="clear" w:color="auto" w:fill="FFFFFF"/>
          <w:lang w:bidi="ar"/>
        </w:rPr>
        <w:t>发展是第一要务，人才是第一资源，创新是第一动力。积极引进和培育新业态人才和从业者</w:t>
      </w:r>
      <w:r>
        <w:rPr>
          <w:rFonts w:hint="eastAsia" w:ascii="Times New Roman" w:hAnsi="Times New Roman" w:eastAsia="仿宋" w:cs="仿宋"/>
          <w:color w:val="auto"/>
          <w:szCs w:val="32"/>
          <w:shd w:val="clear" w:color="auto" w:fill="FFFFFF"/>
          <w:lang w:bidi="ar"/>
        </w:rPr>
        <w:t>。围绕新业态产业需求，采取“项目+人才”模式，采取“一事一议”“一人一策”的办法，精准引进和支持高精尖缺人才及团队发展，真正构建起灵活开放的引才育才机制。发挥企业创新主体作用，通过鼓励企业推行市场化薪酬制度改革，对企业引进高层次人才给予薪酬和中介佣金补助等，激发企业引才育才动力。改革优化县级重大人才计划，建立成果奖励、项目奖励、特殊津贴相结合的优秀人才支持激励体系，进一步挖掘本土人才的潜力，提升本土人才的竞争力。致力于打造一流的创新创业生态环境，组建人才服务专门机构，建立人才服务联盟，为人才提供全方位服务，解决其后顾之忧。</w:t>
      </w:r>
      <w:r>
        <w:rPr>
          <w:rFonts w:ascii="Times New Roman" w:hAnsi="Times New Roman" w:eastAsia="仿宋"/>
          <w:color w:val="auto"/>
          <w:szCs w:val="32"/>
          <w:shd w:val="clear" w:color="auto" w:fill="FFFFFF"/>
          <w:lang w:bidi="ar"/>
        </w:rPr>
        <w:t>构建产学研合作教育培训平台，</w:t>
      </w:r>
      <w:r>
        <w:rPr>
          <w:rFonts w:hint="eastAsia" w:ascii="Times New Roman" w:hAnsi="Times New Roman" w:eastAsia="仿宋"/>
          <w:color w:val="auto"/>
          <w:szCs w:val="32"/>
          <w:shd w:val="clear" w:color="auto" w:fill="FFFFFF"/>
          <w:lang w:bidi="ar"/>
        </w:rPr>
        <w:t>建立新业态重点人才引进目录，多维度搭建就业供求信息平台，探索“飞地”引才模式。</w:t>
      </w:r>
    </w:p>
    <w:p>
      <w:pPr>
        <w:pStyle w:val="13"/>
        <w:spacing w:line="660" w:lineRule="exact"/>
        <w:ind w:left="0" w:firstLine="640" w:firstLineChars="200"/>
        <w:jc w:val="both"/>
        <w:rPr>
          <w:rFonts w:ascii="Times New Roman" w:hAnsi="Times New Roman" w:eastAsia="仿宋" w:cs="仿宋"/>
          <w:color w:val="auto"/>
          <w:szCs w:val="32"/>
          <w:shd w:val="clear" w:color="auto" w:fill="FFFFFF"/>
          <w:lang w:bidi="ar"/>
        </w:rPr>
      </w:pPr>
      <w:r>
        <w:rPr>
          <w:rFonts w:ascii="Times New Roman" w:hAnsi="Times New Roman" w:eastAsia="仿宋" w:cs="仿宋"/>
          <w:color w:val="auto"/>
          <w:szCs w:val="32"/>
          <w:shd w:val="clear" w:color="auto" w:fill="FFFFFF"/>
          <w:lang w:bidi="ar"/>
        </w:rPr>
        <w:t>指导企业规范开展用工余缺调剂，帮助有</w:t>
      </w:r>
      <w:r>
        <w:rPr>
          <w:rFonts w:hint="eastAsia" w:ascii="Times New Roman" w:hAnsi="Times New Roman" w:eastAsia="仿宋" w:cs="仿宋"/>
          <w:color w:val="auto"/>
          <w:szCs w:val="32"/>
          <w:shd w:val="clear" w:color="auto" w:fill="FFFFFF"/>
          <w:lang w:bidi="ar"/>
        </w:rPr>
        <w:t>“共享用工”</w:t>
      </w:r>
      <w:r>
        <w:rPr>
          <w:rFonts w:ascii="Times New Roman" w:hAnsi="Times New Roman" w:eastAsia="仿宋" w:cs="仿宋"/>
          <w:color w:val="auto"/>
          <w:szCs w:val="32"/>
          <w:shd w:val="clear" w:color="auto" w:fill="FFFFFF"/>
          <w:lang w:bidi="ar"/>
        </w:rPr>
        <w:t>需求的企业精准、高效匹配人力资源。完善新业态从业者职称评审制度</w:t>
      </w:r>
      <w:r>
        <w:rPr>
          <w:rFonts w:hint="eastAsia" w:ascii="Times New Roman" w:hAnsi="Times New Roman" w:eastAsia="仿宋" w:cs="仿宋"/>
          <w:color w:val="auto"/>
          <w:szCs w:val="32"/>
          <w:shd w:val="clear" w:color="auto" w:fill="FFFFFF"/>
          <w:lang w:bidi="ar"/>
        </w:rPr>
        <w:t>，探索完善与个人职业发展相适应的医疗、教育等行业多点执业新模式。结合双创示范基地建设，支持建立灵活就业、“共享用工”服务平台，提供线上职业培训、灵活就业供需对接等就业服务。完善线上职业技能培训体系，推动职业院校、企业和社会培训机构共建在线模块化网络课程，积极开展云端招聘、网上签约等就业服务。鼓励运用虚拟现实、增强现实、人机互动等数字化教学培训手段，推广微课程、线上线下混合教学、在线直播等新模式。</w:t>
      </w:r>
    </w:p>
    <w:p>
      <w:pPr>
        <w:rPr>
          <w:rFonts w:ascii="Times New Roman" w:hAnsi="Times New Roman" w:eastAsia="仿宋"/>
          <w:color w:val="auto"/>
          <w:lang w:bidi="ar"/>
        </w:rPr>
      </w:pPr>
    </w:p>
    <w:p>
      <w:pPr>
        <w:pStyle w:val="2"/>
        <w:spacing w:before="0" w:after="0" w:line="360" w:lineRule="auto"/>
        <w:ind w:firstLine="600" w:firstLineChars="200"/>
        <w:rPr>
          <w:rFonts w:ascii="黑体" w:hAnsi="黑体" w:eastAsia="黑体"/>
          <w:b w:val="0"/>
          <w:bCs w:val="0"/>
          <w:color w:val="auto"/>
          <w:sz w:val="30"/>
          <w:szCs w:val="30"/>
        </w:rPr>
      </w:pPr>
      <w:bookmarkStart w:id="32" w:name="_Toc22461"/>
      <w:bookmarkStart w:id="33" w:name="_Toc26758"/>
      <w:r>
        <w:rPr>
          <w:rFonts w:hint="eastAsia" w:ascii="黑体" w:hAnsi="黑体" w:eastAsia="黑体"/>
          <w:b w:val="0"/>
          <w:bCs w:val="0"/>
          <w:color w:val="auto"/>
          <w:sz w:val="30"/>
          <w:szCs w:val="30"/>
        </w:rPr>
        <w:t>五、</w:t>
      </w:r>
      <w:r>
        <w:rPr>
          <w:rFonts w:ascii="黑体" w:hAnsi="黑体" w:eastAsia="黑体"/>
          <w:b w:val="0"/>
          <w:bCs w:val="0"/>
          <w:color w:val="auto"/>
          <w:sz w:val="30"/>
          <w:szCs w:val="30"/>
        </w:rPr>
        <w:t>保障措施</w:t>
      </w:r>
      <w:bookmarkEnd w:id="32"/>
      <w:bookmarkEnd w:id="33"/>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34" w:name="_Toc20746"/>
      <w:r>
        <w:rPr>
          <w:rFonts w:hint="eastAsia" w:ascii="Times New Roman" w:hAnsi="Times New Roman" w:eastAsia="仿宋"/>
          <w:b/>
          <w:bCs/>
          <w:color w:val="auto"/>
          <w:sz w:val="32"/>
          <w:szCs w:val="32"/>
        </w:rPr>
        <w:t>（一）加强组织领导保障</w:t>
      </w:r>
      <w:bookmarkEnd w:id="34"/>
    </w:p>
    <w:p>
      <w:pPr>
        <w:widowControl/>
        <w:shd w:val="clear" w:color="auto" w:fill="FFFFFF"/>
        <w:ind w:firstLine="480"/>
        <w:jc w:val="left"/>
        <w:rPr>
          <w:rFonts w:ascii="Times New Roman" w:hAnsi="Times New Roman" w:eastAsia="仿宋"/>
          <w:color w:val="auto"/>
          <w:kern w:val="0"/>
          <w:sz w:val="32"/>
          <w:szCs w:val="32"/>
          <w:shd w:val="clear" w:color="auto" w:fill="FFFFFF"/>
          <w:lang w:bidi="ar"/>
        </w:rPr>
      </w:pPr>
      <w:r>
        <w:rPr>
          <w:rFonts w:ascii="Times New Roman" w:hAnsi="Times New Roman" w:eastAsia="仿宋"/>
          <w:color w:val="auto"/>
          <w:kern w:val="0"/>
          <w:sz w:val="32"/>
          <w:szCs w:val="32"/>
          <w:shd w:val="clear" w:color="auto" w:fill="FFFFFF"/>
          <w:lang w:bidi="ar"/>
        </w:rPr>
        <w:t>成立新业态培育领导小组，定期召开领导小组全体会议，及时研究解决新业态发展中的问题。建立新业态产业协调工作机制</w:t>
      </w:r>
      <w:r>
        <w:rPr>
          <w:rFonts w:hint="eastAsia" w:ascii="Times New Roman" w:hAnsi="Times New Roman" w:eastAsia="仿宋"/>
          <w:color w:val="auto"/>
          <w:kern w:val="0"/>
          <w:sz w:val="32"/>
          <w:szCs w:val="32"/>
          <w:shd w:val="clear" w:color="auto" w:fill="FFFFFF"/>
          <w:lang w:bidi="ar"/>
        </w:rPr>
        <w:t>，</w:t>
      </w:r>
      <w:r>
        <w:rPr>
          <w:rFonts w:ascii="Times New Roman" w:hAnsi="Times New Roman" w:eastAsia="仿宋"/>
          <w:color w:val="auto"/>
          <w:kern w:val="0"/>
          <w:sz w:val="32"/>
          <w:szCs w:val="32"/>
          <w:shd w:val="clear" w:color="auto" w:fill="FFFFFF"/>
          <w:lang w:bidi="ar"/>
        </w:rPr>
        <w:t>加强对全县新业态产业发展的统筹协调</w:t>
      </w:r>
      <w:r>
        <w:rPr>
          <w:rFonts w:hint="eastAsia" w:ascii="Times New Roman" w:hAnsi="Times New Roman" w:eastAsia="仿宋"/>
          <w:color w:val="auto"/>
          <w:kern w:val="0"/>
          <w:sz w:val="32"/>
          <w:szCs w:val="32"/>
          <w:shd w:val="clear" w:color="auto" w:fill="FFFFFF"/>
          <w:lang w:bidi="ar"/>
        </w:rPr>
        <w:t>，</w:t>
      </w:r>
      <w:r>
        <w:rPr>
          <w:rFonts w:ascii="Times New Roman" w:hAnsi="Times New Roman" w:eastAsia="仿宋"/>
          <w:color w:val="auto"/>
          <w:kern w:val="0"/>
          <w:sz w:val="32"/>
          <w:szCs w:val="32"/>
          <w:shd w:val="clear" w:color="auto" w:fill="FFFFFF"/>
          <w:lang w:bidi="ar"/>
        </w:rPr>
        <w:t>及时协调解决跨区域</w:t>
      </w:r>
      <w:r>
        <w:rPr>
          <w:rFonts w:hint="eastAsia" w:ascii="Times New Roman" w:hAnsi="Times New Roman" w:eastAsia="仿宋"/>
          <w:color w:val="auto"/>
          <w:kern w:val="0"/>
          <w:sz w:val="32"/>
          <w:szCs w:val="32"/>
          <w:shd w:val="clear" w:color="auto" w:fill="FFFFFF"/>
          <w:lang w:bidi="ar"/>
        </w:rPr>
        <w:t>、</w:t>
      </w:r>
      <w:r>
        <w:rPr>
          <w:rFonts w:ascii="Times New Roman" w:hAnsi="Times New Roman" w:eastAsia="仿宋"/>
          <w:color w:val="auto"/>
          <w:kern w:val="0"/>
          <w:sz w:val="32"/>
          <w:szCs w:val="32"/>
          <w:shd w:val="clear" w:color="auto" w:fill="FFFFFF"/>
          <w:lang w:bidi="ar"/>
        </w:rPr>
        <w:t>跨领域和跨部门的重大问题</w:t>
      </w:r>
      <w:r>
        <w:rPr>
          <w:rFonts w:hint="eastAsia" w:ascii="Times New Roman" w:hAnsi="Times New Roman" w:eastAsia="仿宋"/>
          <w:color w:val="auto"/>
          <w:kern w:val="0"/>
          <w:sz w:val="32"/>
          <w:szCs w:val="32"/>
          <w:shd w:val="clear" w:color="auto" w:fill="FFFFFF"/>
          <w:lang w:bidi="ar"/>
        </w:rPr>
        <w:t>。</w:t>
      </w:r>
      <w:r>
        <w:rPr>
          <w:rFonts w:ascii="Times New Roman" w:hAnsi="Times New Roman" w:eastAsia="仿宋"/>
          <w:color w:val="auto"/>
          <w:kern w:val="0"/>
          <w:sz w:val="32"/>
          <w:szCs w:val="32"/>
          <w:shd w:val="clear" w:color="auto" w:fill="FFFFFF"/>
          <w:lang w:bidi="ar"/>
        </w:rPr>
        <w:t>建立新业态</w:t>
      </w:r>
      <w:r>
        <w:rPr>
          <w:rFonts w:hint="eastAsia" w:ascii="Times New Roman" w:hAnsi="Times New Roman" w:eastAsia="仿宋" w:cs="仿宋"/>
          <w:color w:val="auto"/>
          <w:sz w:val="32"/>
          <w:szCs w:val="32"/>
          <w:shd w:val="clear" w:color="auto" w:fill="FFFFFF"/>
          <w:lang w:bidi="ar"/>
        </w:rPr>
        <w:t>新模式</w:t>
      </w:r>
      <w:r>
        <w:rPr>
          <w:rFonts w:ascii="Times New Roman" w:hAnsi="Times New Roman" w:eastAsia="仿宋"/>
          <w:color w:val="auto"/>
          <w:kern w:val="0"/>
          <w:sz w:val="32"/>
          <w:szCs w:val="32"/>
          <w:shd w:val="clear" w:color="auto" w:fill="FFFFFF"/>
          <w:lang w:bidi="ar"/>
        </w:rPr>
        <w:t>综合评价体系，完善新业态产业及其细分领域的指标统计方式方法</w:t>
      </w:r>
      <w:r>
        <w:rPr>
          <w:rFonts w:hint="eastAsia" w:ascii="Times New Roman" w:hAnsi="Times New Roman" w:eastAsia="仿宋"/>
          <w:color w:val="auto"/>
          <w:kern w:val="0"/>
          <w:sz w:val="32"/>
          <w:szCs w:val="32"/>
          <w:shd w:val="clear" w:color="auto" w:fill="FFFFFF"/>
          <w:lang w:bidi="ar"/>
        </w:rPr>
        <w:t>，</w:t>
      </w:r>
      <w:r>
        <w:rPr>
          <w:rFonts w:ascii="Times New Roman" w:hAnsi="Times New Roman" w:eastAsia="仿宋"/>
          <w:color w:val="auto"/>
          <w:kern w:val="0"/>
          <w:sz w:val="32"/>
          <w:szCs w:val="32"/>
          <w:shd w:val="clear" w:color="auto" w:fill="FFFFFF"/>
          <w:lang w:bidi="ar"/>
        </w:rPr>
        <w:t>加强运行监测和综合分析</w:t>
      </w:r>
      <w:r>
        <w:rPr>
          <w:rFonts w:hint="eastAsia" w:ascii="Times New Roman" w:hAnsi="Times New Roman" w:eastAsia="仿宋"/>
          <w:color w:val="auto"/>
          <w:kern w:val="0"/>
          <w:sz w:val="32"/>
          <w:szCs w:val="32"/>
          <w:shd w:val="clear" w:color="auto" w:fill="FFFFFF"/>
          <w:lang w:bidi="ar"/>
        </w:rPr>
        <w:t>。</w:t>
      </w:r>
      <w:r>
        <w:rPr>
          <w:rFonts w:ascii="Times New Roman" w:hAnsi="Times New Roman" w:eastAsia="仿宋"/>
          <w:color w:val="auto"/>
          <w:kern w:val="0"/>
          <w:sz w:val="32"/>
          <w:szCs w:val="32"/>
          <w:shd w:val="clear" w:color="auto" w:fill="FFFFFF"/>
          <w:lang w:bidi="ar"/>
        </w:rPr>
        <w:t>将新业态发展纳入全县考绩体系，督导责任落实。应在密切关注新业态新模式发展演变的基础上，不断调整创新现有监管体系和监管方式，合理界定新业态新模式不同行业领域的业态属性，分类细化管理。</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35" w:name="_Toc24296"/>
      <w:r>
        <w:rPr>
          <w:rFonts w:hint="eastAsia" w:ascii="Times New Roman" w:hAnsi="Times New Roman" w:eastAsia="仿宋"/>
          <w:b/>
          <w:bCs/>
          <w:color w:val="auto"/>
          <w:sz w:val="32"/>
          <w:szCs w:val="32"/>
        </w:rPr>
        <w:t>（二）坚持包容审慎监管</w:t>
      </w:r>
      <w:bookmarkEnd w:id="35"/>
    </w:p>
    <w:p>
      <w:pPr>
        <w:widowControl/>
        <w:shd w:val="clear" w:color="auto" w:fill="FFFFFF"/>
        <w:ind w:firstLine="480"/>
        <w:jc w:val="left"/>
        <w:rPr>
          <w:rFonts w:ascii="Times New Roman" w:hAnsi="Times New Roman" w:eastAsia="仿宋" w:cs="仿宋"/>
          <w:color w:val="auto"/>
          <w:sz w:val="32"/>
          <w:szCs w:val="32"/>
          <w:shd w:val="clear" w:color="auto" w:fill="FFFFFF"/>
          <w:lang w:bidi="ar"/>
        </w:rPr>
      </w:pPr>
      <w:r>
        <w:rPr>
          <w:rFonts w:hint="eastAsia" w:ascii="Times New Roman" w:hAnsi="Times New Roman" w:eastAsia="仿宋" w:cs="仿宋"/>
          <w:color w:val="auto"/>
          <w:sz w:val="32"/>
          <w:szCs w:val="32"/>
          <w:shd w:val="clear" w:color="auto" w:fill="FFFFFF"/>
          <w:lang w:bidi="ar"/>
        </w:rPr>
        <w:t>探索符合新业态新模式发展的监管办法，推动“互联网+监管”方式，健全触发式监管机制，在严守安全底线前提下推进监管创新。依托国家</w:t>
      </w:r>
      <w:r>
        <w:rPr>
          <w:rFonts w:hint="eastAsia" w:ascii="Times New Roman" w:hAnsi="Times New Roman" w:eastAsia="仿宋" w:cs="仿宋"/>
          <w:color w:val="auto"/>
          <w:sz w:val="32"/>
          <w:szCs w:val="32"/>
          <w:shd w:val="clear" w:color="auto" w:fill="FFFFFF"/>
          <w:lang w:eastAsia="zh-CN" w:bidi="ar"/>
        </w:rPr>
        <w:t>“</w:t>
      </w:r>
      <w:r>
        <w:rPr>
          <w:rFonts w:hint="eastAsia" w:ascii="Times New Roman" w:hAnsi="Times New Roman" w:eastAsia="仿宋" w:cs="仿宋"/>
          <w:color w:val="auto"/>
          <w:sz w:val="32"/>
          <w:szCs w:val="32"/>
          <w:shd w:val="clear" w:color="auto" w:fill="FFFFFF"/>
          <w:lang w:bidi="ar"/>
        </w:rPr>
        <w:t>互联网</w:t>
      </w:r>
      <w:r>
        <w:rPr>
          <w:rFonts w:ascii="Times New Roman" w:hAnsi="Times New Roman" w:eastAsia="仿宋" w:cs="仿宋"/>
          <w:color w:val="auto"/>
          <w:sz w:val="32"/>
          <w:szCs w:val="32"/>
          <w:shd w:val="clear" w:color="auto" w:fill="FFFFFF"/>
          <w:lang w:bidi="ar"/>
        </w:rPr>
        <w:t>+</w:t>
      </w:r>
      <w:r>
        <w:rPr>
          <w:rFonts w:hint="eastAsia" w:ascii="Times New Roman" w:hAnsi="Times New Roman" w:eastAsia="仿宋" w:cs="仿宋"/>
          <w:color w:val="auto"/>
          <w:sz w:val="32"/>
          <w:szCs w:val="32"/>
          <w:shd w:val="clear" w:color="auto" w:fill="FFFFFF"/>
          <w:lang w:bidi="ar"/>
        </w:rPr>
        <w:t>监管</w:t>
      </w:r>
      <w:r>
        <w:rPr>
          <w:rFonts w:hint="eastAsia" w:ascii="Times New Roman" w:hAnsi="Times New Roman" w:eastAsia="仿宋" w:cs="仿宋"/>
          <w:color w:val="auto"/>
          <w:sz w:val="32"/>
          <w:szCs w:val="32"/>
          <w:shd w:val="clear" w:color="auto" w:fill="FFFFFF"/>
          <w:lang w:eastAsia="zh-CN" w:bidi="ar"/>
        </w:rPr>
        <w:t>”</w:t>
      </w:r>
      <w:r>
        <w:rPr>
          <w:rFonts w:hint="eastAsia" w:ascii="Times New Roman" w:hAnsi="Times New Roman" w:eastAsia="仿宋" w:cs="仿宋"/>
          <w:color w:val="auto"/>
          <w:sz w:val="32"/>
          <w:szCs w:val="32"/>
          <w:shd w:val="clear" w:color="auto" w:fill="FFFFFF"/>
          <w:lang w:bidi="ar"/>
        </w:rPr>
        <w:t>等系统，推动监管平台与企业平台联通，加强交易、支付、物流、出行等第三方数据分析比对，开展信息监测、在线证据保全、在线识别、源头追溯，增强对行业风险和违法违规线索的发现识别能力，实现以网管网、线上线下一体化监管。对新出现、一时看不准的新业态新模式，设置一定的观察期，预留发展空间；对关乎群众生命财产安全、存在较大潜在风险、可能造成严重不良后果的新业态新模式要严格监管；对非法经营、触及法律法规红线的，坚决依法予以取缔。</w:t>
      </w:r>
    </w:p>
    <w:p>
      <w:pPr>
        <w:spacing w:line="360" w:lineRule="auto"/>
        <w:ind w:firstLine="640" w:firstLineChars="200"/>
        <w:rPr>
          <w:rFonts w:ascii="Times New Roman" w:hAnsi="Times New Roman" w:eastAsia="仿宋"/>
          <w:color w:val="auto"/>
          <w:kern w:val="0"/>
          <w:sz w:val="32"/>
          <w:szCs w:val="32"/>
          <w:shd w:val="clear" w:color="auto" w:fill="FFFFFF"/>
          <w:lang w:bidi="ar"/>
        </w:rPr>
      </w:pPr>
      <w:r>
        <w:rPr>
          <w:rFonts w:hint="eastAsia" w:ascii="Times New Roman" w:hAnsi="Times New Roman" w:eastAsia="仿宋"/>
          <w:color w:val="auto"/>
          <w:kern w:val="0"/>
          <w:sz w:val="32"/>
          <w:szCs w:val="32"/>
          <w:shd w:val="clear" w:color="auto" w:fill="FFFFFF"/>
          <w:lang w:bidi="ar"/>
        </w:rPr>
        <w:t>放宽住所（经营场所）登记条件，督促开展“一照多址”改革探索，简化新业态企业分支机构设立手续。允许使用反映新业态特征的字词作为企业名称登记。推进反映表述新业态特征的经营范围登记规范化。放宽融合性产品和服务准入限制，指导督促评估网约车、旅游民宿等领域的政策落实情况，优化完善准入条件、审批流程和服务，加快新业态参与者合规化进程。</w:t>
      </w:r>
    </w:p>
    <w:p>
      <w:pPr>
        <w:spacing w:line="360" w:lineRule="auto"/>
        <w:ind w:firstLine="640" w:firstLineChars="200"/>
        <w:rPr>
          <w:rFonts w:ascii="Times New Roman" w:hAnsi="Times New Roman" w:eastAsia="仿宋"/>
          <w:color w:val="auto"/>
          <w:kern w:val="0"/>
          <w:sz w:val="32"/>
          <w:szCs w:val="32"/>
          <w:shd w:val="clear" w:color="auto" w:fill="FFFFFF"/>
          <w:lang w:bidi="ar"/>
        </w:rPr>
      </w:pPr>
      <w:r>
        <w:rPr>
          <w:rFonts w:hint="eastAsia" w:ascii="Times New Roman" w:hAnsi="Times New Roman" w:eastAsia="仿宋"/>
          <w:color w:val="auto"/>
          <w:kern w:val="0"/>
          <w:sz w:val="32"/>
          <w:szCs w:val="32"/>
          <w:shd w:val="clear" w:color="auto" w:fill="FFFFFF"/>
          <w:lang w:bidi="ar"/>
        </w:rPr>
        <w:t>对部分缺乏标准的新业态行业，要及时制定出台相关产品和服务标准，为新产品新服务进入市场提供保障。对一些发展相对成熟的新业态，要鼓励龙头企业和行业协会主动制定企业标准，参与制定行业标准，提升产品质量和服务水平。</w:t>
      </w:r>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36" w:name="_Toc15870"/>
      <w:r>
        <w:rPr>
          <w:rFonts w:hint="eastAsia" w:ascii="Times New Roman" w:hAnsi="Times New Roman" w:eastAsia="仿宋"/>
          <w:b/>
          <w:bCs/>
          <w:color w:val="auto"/>
          <w:sz w:val="32"/>
          <w:szCs w:val="32"/>
        </w:rPr>
        <w:t>（三）营造良好市场氛围</w:t>
      </w:r>
      <w:bookmarkEnd w:id="36"/>
    </w:p>
    <w:p>
      <w:pPr>
        <w:pStyle w:val="14"/>
        <w:spacing w:before="0" w:beforeAutospacing="0" w:after="0" w:afterAutospacing="0" w:line="660" w:lineRule="exact"/>
        <w:ind w:firstLine="640" w:firstLineChars="200"/>
        <w:jc w:val="both"/>
        <w:rPr>
          <w:rFonts w:ascii="Times New Roman" w:hAnsi="Times New Roman" w:eastAsia="仿宋"/>
          <w:color w:val="auto"/>
          <w:sz w:val="32"/>
          <w:szCs w:val="32"/>
          <w:lang w:bidi="ar"/>
        </w:rPr>
      </w:pPr>
      <w:r>
        <w:rPr>
          <w:rFonts w:hint="eastAsia" w:ascii="Times New Roman" w:hAnsi="Times New Roman" w:eastAsia="仿宋" w:cs="仿宋"/>
          <w:color w:val="auto"/>
          <w:kern w:val="2"/>
          <w:sz w:val="32"/>
          <w:szCs w:val="32"/>
          <w:shd w:val="clear" w:color="auto" w:fill="FFFFFF"/>
          <w:lang w:bidi="ar"/>
        </w:rPr>
        <w:t>加强新型基础设施建设，优化新业态新模式发展设施环境。</w:t>
      </w:r>
      <w:r>
        <w:rPr>
          <w:rFonts w:hint="eastAsia" w:ascii="Times New Roman" w:hAnsi="Times New Roman" w:eastAsia="仿宋"/>
          <w:color w:val="auto"/>
          <w:sz w:val="32"/>
          <w:szCs w:val="32"/>
          <w:lang w:bidi="ar"/>
        </w:rPr>
        <w:t>抓住算力、数据、普惠AI等数字经济关键生产要素，建设网络基础稳固、数据智能融合、产业生态完善、平台创新活跃、应用智慧丰富、安全可信可控的新型基础设施。将5G基站建设纳入相关规划，在基站设置、传输和管道工程建设、环保评测、电力引接、用电费用减免等方面给予支持；加快5G独立组网（SA）建设，实现家庭千兆接入能力和商务楼宇万兆接入能力。强化人工智能平台支撑，支持建设超级计算与人工智能开源开放平台、人工智能研发服务平台和应用创新平台，加快建设城市智慧云脑和感知网络。合理布局建设大数据中心，发展应用承载、数据存储、容灾备份等数据服务，加强存量数据中心绿色化改造，加快数据中心从“云+端”集中式架构向“云+边+端”分布式架构演变。支持各类共享开源平台建设，促进形成协同研发和快速迭代创新生态。</w:t>
      </w:r>
    </w:p>
    <w:p>
      <w:pPr>
        <w:widowControl/>
        <w:shd w:val="clear" w:color="auto" w:fill="FFFFFF"/>
        <w:ind w:firstLine="480"/>
        <w:jc w:val="left"/>
        <w:rPr>
          <w:rFonts w:ascii="Times New Roman" w:hAnsi="Times New Roman" w:eastAsia="仿宋"/>
          <w:color w:val="auto"/>
          <w:kern w:val="0"/>
          <w:sz w:val="32"/>
          <w:szCs w:val="32"/>
          <w:lang w:bidi="ar"/>
        </w:rPr>
      </w:pPr>
      <w:r>
        <w:rPr>
          <w:rFonts w:hint="eastAsia" w:ascii="Times New Roman" w:hAnsi="Times New Roman" w:eastAsia="仿宋" w:cs="仿宋"/>
          <w:color w:val="auto"/>
          <w:sz w:val="32"/>
          <w:szCs w:val="32"/>
          <w:shd w:val="clear" w:color="auto" w:fill="FFFFFF"/>
          <w:lang w:bidi="ar"/>
        </w:rPr>
        <w:t>加大典型案例宣传推广力度，对成效显著的主体，在申报大众创业万众创新示范基地、先进制造业与现代服务业融合试点、县重大产业项目及相关扶持专项中给予优先支持。</w:t>
      </w:r>
      <w:r>
        <w:rPr>
          <w:rFonts w:hint="eastAsia" w:ascii="Times New Roman" w:hAnsi="Times New Roman" w:eastAsia="仿宋"/>
          <w:color w:val="auto"/>
          <w:kern w:val="0"/>
          <w:sz w:val="32"/>
          <w:szCs w:val="32"/>
          <w:lang w:bidi="ar"/>
        </w:rPr>
        <w:t>建立新业态企业招商指导目录和项目甄别评价体系。围绕产业、企业、企业家，通过以商招商、以企孵企，大力推进“小升规”，培育龙头骨干企业，造就一批有国际视野、有强烈创新创业精神、懂经营会管理的企业家队伍，打造转型发展的主力军。依托龙头企业开展以商招商、补链招商和配套招商，引进新业态核心配套企业、产业链上下游企业和关联企业等。研究提出成长性企业的筛选机制和培育名单，对优质新业态企业实施“一对一”精细化培育发展。</w:t>
      </w:r>
      <w:bookmarkStart w:id="37" w:name="_Toc1638"/>
    </w:p>
    <w:p>
      <w:pPr>
        <w:spacing w:before="156" w:beforeLines="50" w:after="156" w:afterLines="50" w:line="600" w:lineRule="exact"/>
        <w:ind w:firstLine="643" w:firstLineChars="200"/>
        <w:outlineLvl w:val="1"/>
        <w:rPr>
          <w:rFonts w:ascii="Times New Roman" w:hAnsi="Times New Roman" w:eastAsia="仿宋"/>
          <w:b/>
          <w:bCs/>
          <w:color w:val="auto"/>
          <w:sz w:val="32"/>
          <w:szCs w:val="32"/>
        </w:rPr>
      </w:pPr>
      <w:bookmarkStart w:id="38" w:name="_Toc10717"/>
      <w:r>
        <w:rPr>
          <w:rFonts w:hint="eastAsia" w:ascii="Times New Roman" w:hAnsi="Times New Roman" w:eastAsia="仿宋"/>
          <w:b/>
          <w:bCs/>
          <w:color w:val="auto"/>
          <w:sz w:val="32"/>
          <w:szCs w:val="32"/>
        </w:rPr>
        <w:t>（四）建立培训学习制度</w:t>
      </w:r>
      <w:bookmarkEnd w:id="37"/>
      <w:bookmarkEnd w:id="38"/>
    </w:p>
    <w:p>
      <w:pPr>
        <w:spacing w:line="60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新业态”是一个边学习边推进边落实的过程，推进“新业态”工作，首要任务是提高本领。围绕“新业态”的概念、内涵、外延、发展方向、实施路径等方面，各相关部门要通力配合，建立培训学习制度，邀请国家级、省级专家来我县，对各乡镇开展业务培训，提高县区的工作水平，在全县上下形成推进“新业态”的强大合力。</w:t>
      </w: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p>
    <w:p>
      <w:pPr>
        <w:pStyle w:val="14"/>
        <w:shd w:val="clear" w:color="auto" w:fill="FFFFFF"/>
        <w:spacing w:before="0" w:beforeAutospacing="0" w:after="0" w:afterAutospacing="0" w:line="360" w:lineRule="auto"/>
        <w:ind w:firstLine="640" w:firstLineChars="200"/>
        <w:jc w:val="both"/>
        <w:rPr>
          <w:rFonts w:ascii="Times New Roman" w:hAnsi="Times New Roman" w:eastAsia="仿宋" w:cstheme="minorBidi"/>
          <w:color w:val="auto"/>
          <w:kern w:val="2"/>
          <w:sz w:val="32"/>
          <w:szCs w:val="32"/>
        </w:rPr>
      </w:pPr>
    </w:p>
    <w:sectPr>
      <w:footerReference r:id="rId4"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224258"/>
      <w:docPartObj>
        <w:docPartGallery w:val="autotext"/>
      </w:docPartObj>
    </w:sdtPr>
    <w:sdtContent>
      <w:p>
        <w:pPr>
          <w:pStyle w:val="9"/>
          <w:jc w:val="center"/>
        </w:pPr>
        <w:r>
          <w:fldChar w:fldCharType="begin"/>
        </w:r>
        <w:r>
          <w:instrText xml:space="preserve">PAGE   \* MERGEFORMAT</w:instrText>
        </w:r>
        <w:r>
          <w:fldChar w:fldCharType="separate"/>
        </w:r>
        <w:r>
          <w:rPr>
            <w:lang w:val="zh-CN"/>
          </w:rPr>
          <w:t>18</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pPr>
      <w:r>
        <w:rPr>
          <w:rStyle w:val="23"/>
        </w:rPr>
        <w:footnoteRef/>
      </w:r>
      <w:r>
        <w:t xml:space="preserve"> 2020</w:t>
      </w:r>
      <w:r>
        <w:rPr>
          <w:rFonts w:hint="eastAsia"/>
        </w:rPr>
        <w:t>年受新冠疫情影响，全年共接待游客</w:t>
      </w:r>
      <w:r>
        <w:t>690.21万人次，比上年下降53.3%；实现旅游综合收入62.72亿元，比上年下降54.4%。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594D4"/>
    <w:multiLevelType w:val="singleLevel"/>
    <w:tmpl w:val="140594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3Yzg4YmUwYzIwNGViNDg0MDlhYmI5YWQ5ZjA1NDUifQ=="/>
  </w:docVars>
  <w:rsids>
    <w:rsidRoot w:val="00F826D4"/>
    <w:rsid w:val="000140A0"/>
    <w:rsid w:val="0001516C"/>
    <w:rsid w:val="00020308"/>
    <w:rsid w:val="0002121E"/>
    <w:rsid w:val="000252E8"/>
    <w:rsid w:val="00034495"/>
    <w:rsid w:val="0003625A"/>
    <w:rsid w:val="00047227"/>
    <w:rsid w:val="00053C16"/>
    <w:rsid w:val="000547E8"/>
    <w:rsid w:val="00070179"/>
    <w:rsid w:val="00073275"/>
    <w:rsid w:val="00087DC6"/>
    <w:rsid w:val="000908B1"/>
    <w:rsid w:val="00091E66"/>
    <w:rsid w:val="00092AD3"/>
    <w:rsid w:val="000A236D"/>
    <w:rsid w:val="000A5B74"/>
    <w:rsid w:val="000C69AB"/>
    <w:rsid w:val="000D4BAC"/>
    <w:rsid w:val="000E21E4"/>
    <w:rsid w:val="000E6BFD"/>
    <w:rsid w:val="000E735E"/>
    <w:rsid w:val="000E7AA3"/>
    <w:rsid w:val="000F173C"/>
    <w:rsid w:val="000F794E"/>
    <w:rsid w:val="000F7BFC"/>
    <w:rsid w:val="0010386A"/>
    <w:rsid w:val="0012008D"/>
    <w:rsid w:val="00122591"/>
    <w:rsid w:val="00125E00"/>
    <w:rsid w:val="00130938"/>
    <w:rsid w:val="00134C74"/>
    <w:rsid w:val="00140B60"/>
    <w:rsid w:val="00142EE0"/>
    <w:rsid w:val="00157994"/>
    <w:rsid w:val="00164FF0"/>
    <w:rsid w:val="00166714"/>
    <w:rsid w:val="0016708B"/>
    <w:rsid w:val="00171AEE"/>
    <w:rsid w:val="00173F53"/>
    <w:rsid w:val="00175CE7"/>
    <w:rsid w:val="0017693B"/>
    <w:rsid w:val="00184686"/>
    <w:rsid w:val="0018605B"/>
    <w:rsid w:val="001910F1"/>
    <w:rsid w:val="001912A1"/>
    <w:rsid w:val="001C0677"/>
    <w:rsid w:val="001C79C2"/>
    <w:rsid w:val="001D04DE"/>
    <w:rsid w:val="001D1FE1"/>
    <w:rsid w:val="001D461A"/>
    <w:rsid w:val="001E2143"/>
    <w:rsid w:val="001E3993"/>
    <w:rsid w:val="001E649A"/>
    <w:rsid w:val="001F42B3"/>
    <w:rsid w:val="0020068C"/>
    <w:rsid w:val="00214BA5"/>
    <w:rsid w:val="00215117"/>
    <w:rsid w:val="00222972"/>
    <w:rsid w:val="00230CD3"/>
    <w:rsid w:val="00233695"/>
    <w:rsid w:val="00235E74"/>
    <w:rsid w:val="00251979"/>
    <w:rsid w:val="002535A3"/>
    <w:rsid w:val="00257BE0"/>
    <w:rsid w:val="00271AFA"/>
    <w:rsid w:val="00280C8A"/>
    <w:rsid w:val="0028275F"/>
    <w:rsid w:val="00285181"/>
    <w:rsid w:val="0029070C"/>
    <w:rsid w:val="00293C5D"/>
    <w:rsid w:val="002B4B9B"/>
    <w:rsid w:val="002C1FF2"/>
    <w:rsid w:val="002C2A7D"/>
    <w:rsid w:val="002D1AF5"/>
    <w:rsid w:val="002D1E9B"/>
    <w:rsid w:val="002D3828"/>
    <w:rsid w:val="002D38BF"/>
    <w:rsid w:val="002D4EBF"/>
    <w:rsid w:val="002F0BD8"/>
    <w:rsid w:val="00301D7A"/>
    <w:rsid w:val="00305090"/>
    <w:rsid w:val="00306478"/>
    <w:rsid w:val="003247DC"/>
    <w:rsid w:val="003257FB"/>
    <w:rsid w:val="003336B1"/>
    <w:rsid w:val="00333A6F"/>
    <w:rsid w:val="00336615"/>
    <w:rsid w:val="00336C1A"/>
    <w:rsid w:val="00337457"/>
    <w:rsid w:val="00337EAD"/>
    <w:rsid w:val="00342978"/>
    <w:rsid w:val="00346C6A"/>
    <w:rsid w:val="00350F03"/>
    <w:rsid w:val="00353E5A"/>
    <w:rsid w:val="003654BE"/>
    <w:rsid w:val="00365CFD"/>
    <w:rsid w:val="00370FCA"/>
    <w:rsid w:val="00376183"/>
    <w:rsid w:val="00377F8F"/>
    <w:rsid w:val="00394880"/>
    <w:rsid w:val="00396FA2"/>
    <w:rsid w:val="003A1E5E"/>
    <w:rsid w:val="003B11A2"/>
    <w:rsid w:val="003B424F"/>
    <w:rsid w:val="003B4CEC"/>
    <w:rsid w:val="003B768F"/>
    <w:rsid w:val="003C04A6"/>
    <w:rsid w:val="003C0DEB"/>
    <w:rsid w:val="003E121E"/>
    <w:rsid w:val="003E61AC"/>
    <w:rsid w:val="003E67DA"/>
    <w:rsid w:val="003E7060"/>
    <w:rsid w:val="003F0E70"/>
    <w:rsid w:val="003F108D"/>
    <w:rsid w:val="003F793A"/>
    <w:rsid w:val="00403A71"/>
    <w:rsid w:val="004121C5"/>
    <w:rsid w:val="00420004"/>
    <w:rsid w:val="00421145"/>
    <w:rsid w:val="004333BD"/>
    <w:rsid w:val="00436868"/>
    <w:rsid w:val="00436996"/>
    <w:rsid w:val="00441BE6"/>
    <w:rsid w:val="00443E3D"/>
    <w:rsid w:val="004527A3"/>
    <w:rsid w:val="00460F53"/>
    <w:rsid w:val="00462463"/>
    <w:rsid w:val="00486562"/>
    <w:rsid w:val="004A00D2"/>
    <w:rsid w:val="004B076E"/>
    <w:rsid w:val="004B4563"/>
    <w:rsid w:val="004C3A0F"/>
    <w:rsid w:val="004C4C93"/>
    <w:rsid w:val="004D4112"/>
    <w:rsid w:val="004D55E4"/>
    <w:rsid w:val="004E0819"/>
    <w:rsid w:val="004E0C70"/>
    <w:rsid w:val="005043EE"/>
    <w:rsid w:val="00512059"/>
    <w:rsid w:val="00540A3D"/>
    <w:rsid w:val="00543E96"/>
    <w:rsid w:val="005577F9"/>
    <w:rsid w:val="005625E9"/>
    <w:rsid w:val="005638CD"/>
    <w:rsid w:val="00571A3B"/>
    <w:rsid w:val="0057253A"/>
    <w:rsid w:val="00572C0C"/>
    <w:rsid w:val="00584D38"/>
    <w:rsid w:val="0059543D"/>
    <w:rsid w:val="0059732B"/>
    <w:rsid w:val="005B38CA"/>
    <w:rsid w:val="005C65B4"/>
    <w:rsid w:val="005F2C87"/>
    <w:rsid w:val="005F4A4F"/>
    <w:rsid w:val="00605F44"/>
    <w:rsid w:val="00623CC2"/>
    <w:rsid w:val="00627BFB"/>
    <w:rsid w:val="00636770"/>
    <w:rsid w:val="006401A8"/>
    <w:rsid w:val="006403F3"/>
    <w:rsid w:val="00641331"/>
    <w:rsid w:val="006565C9"/>
    <w:rsid w:val="00657B7F"/>
    <w:rsid w:val="00670816"/>
    <w:rsid w:val="00687C2F"/>
    <w:rsid w:val="006B2D89"/>
    <w:rsid w:val="006C6648"/>
    <w:rsid w:val="006E65FC"/>
    <w:rsid w:val="007204F3"/>
    <w:rsid w:val="00725A81"/>
    <w:rsid w:val="007316D8"/>
    <w:rsid w:val="00731803"/>
    <w:rsid w:val="00731EAD"/>
    <w:rsid w:val="0073204E"/>
    <w:rsid w:val="00734ACB"/>
    <w:rsid w:val="00735A95"/>
    <w:rsid w:val="007407B4"/>
    <w:rsid w:val="00744293"/>
    <w:rsid w:val="00746587"/>
    <w:rsid w:val="00756244"/>
    <w:rsid w:val="007578BE"/>
    <w:rsid w:val="00766E31"/>
    <w:rsid w:val="00774C54"/>
    <w:rsid w:val="00787361"/>
    <w:rsid w:val="00791BD5"/>
    <w:rsid w:val="007A1651"/>
    <w:rsid w:val="007A6CC0"/>
    <w:rsid w:val="007A7BA9"/>
    <w:rsid w:val="007B69F6"/>
    <w:rsid w:val="007C1651"/>
    <w:rsid w:val="007C5093"/>
    <w:rsid w:val="007D1435"/>
    <w:rsid w:val="007D3C56"/>
    <w:rsid w:val="007E018C"/>
    <w:rsid w:val="007E19C1"/>
    <w:rsid w:val="007E2366"/>
    <w:rsid w:val="0080420E"/>
    <w:rsid w:val="0080578E"/>
    <w:rsid w:val="00814D82"/>
    <w:rsid w:val="00816301"/>
    <w:rsid w:val="008478F2"/>
    <w:rsid w:val="0087276D"/>
    <w:rsid w:val="0088050E"/>
    <w:rsid w:val="00887820"/>
    <w:rsid w:val="008A01D5"/>
    <w:rsid w:val="008A6382"/>
    <w:rsid w:val="008B0D4C"/>
    <w:rsid w:val="008C5C7B"/>
    <w:rsid w:val="008D5F5D"/>
    <w:rsid w:val="008E6AB0"/>
    <w:rsid w:val="008F0C24"/>
    <w:rsid w:val="008F48FB"/>
    <w:rsid w:val="00903237"/>
    <w:rsid w:val="009056B5"/>
    <w:rsid w:val="00912F98"/>
    <w:rsid w:val="00917252"/>
    <w:rsid w:val="00924F0D"/>
    <w:rsid w:val="00930143"/>
    <w:rsid w:val="00941915"/>
    <w:rsid w:val="00943BE9"/>
    <w:rsid w:val="00960D69"/>
    <w:rsid w:val="009667EC"/>
    <w:rsid w:val="00984813"/>
    <w:rsid w:val="0098787B"/>
    <w:rsid w:val="00991439"/>
    <w:rsid w:val="00991A5A"/>
    <w:rsid w:val="009A0A2B"/>
    <w:rsid w:val="009C3202"/>
    <w:rsid w:val="009C4234"/>
    <w:rsid w:val="009C437A"/>
    <w:rsid w:val="009C7C28"/>
    <w:rsid w:val="009D2FD5"/>
    <w:rsid w:val="009D42FB"/>
    <w:rsid w:val="009E4518"/>
    <w:rsid w:val="009E63E3"/>
    <w:rsid w:val="009F0955"/>
    <w:rsid w:val="00A060F1"/>
    <w:rsid w:val="00A11295"/>
    <w:rsid w:val="00A12DE9"/>
    <w:rsid w:val="00A20C24"/>
    <w:rsid w:val="00A3094B"/>
    <w:rsid w:val="00A315DF"/>
    <w:rsid w:val="00A32524"/>
    <w:rsid w:val="00A405FB"/>
    <w:rsid w:val="00A568B9"/>
    <w:rsid w:val="00A70560"/>
    <w:rsid w:val="00A8158F"/>
    <w:rsid w:val="00A955E7"/>
    <w:rsid w:val="00A958CA"/>
    <w:rsid w:val="00AA7843"/>
    <w:rsid w:val="00AB1C8C"/>
    <w:rsid w:val="00AB1EA9"/>
    <w:rsid w:val="00AB2AC8"/>
    <w:rsid w:val="00AB718D"/>
    <w:rsid w:val="00AC0375"/>
    <w:rsid w:val="00AC62B2"/>
    <w:rsid w:val="00AE240F"/>
    <w:rsid w:val="00B35C87"/>
    <w:rsid w:val="00B53487"/>
    <w:rsid w:val="00B800C9"/>
    <w:rsid w:val="00B82D6C"/>
    <w:rsid w:val="00B95D7A"/>
    <w:rsid w:val="00BA0799"/>
    <w:rsid w:val="00BA4922"/>
    <w:rsid w:val="00BA721F"/>
    <w:rsid w:val="00BA7903"/>
    <w:rsid w:val="00BB03BE"/>
    <w:rsid w:val="00BB0585"/>
    <w:rsid w:val="00BB2167"/>
    <w:rsid w:val="00BB5614"/>
    <w:rsid w:val="00BC44F5"/>
    <w:rsid w:val="00BD1FB0"/>
    <w:rsid w:val="00BE5874"/>
    <w:rsid w:val="00C0283D"/>
    <w:rsid w:val="00C07381"/>
    <w:rsid w:val="00C13929"/>
    <w:rsid w:val="00C14FC3"/>
    <w:rsid w:val="00C152A9"/>
    <w:rsid w:val="00C22699"/>
    <w:rsid w:val="00C26772"/>
    <w:rsid w:val="00C26925"/>
    <w:rsid w:val="00C27149"/>
    <w:rsid w:val="00C31601"/>
    <w:rsid w:val="00C327CB"/>
    <w:rsid w:val="00C32D0D"/>
    <w:rsid w:val="00C332A9"/>
    <w:rsid w:val="00C34BB9"/>
    <w:rsid w:val="00C416EC"/>
    <w:rsid w:val="00C56E24"/>
    <w:rsid w:val="00C7263E"/>
    <w:rsid w:val="00C74C95"/>
    <w:rsid w:val="00C75EE0"/>
    <w:rsid w:val="00C81B66"/>
    <w:rsid w:val="00C83EBB"/>
    <w:rsid w:val="00C85860"/>
    <w:rsid w:val="00C85D95"/>
    <w:rsid w:val="00C94AAE"/>
    <w:rsid w:val="00CA1981"/>
    <w:rsid w:val="00CA48B1"/>
    <w:rsid w:val="00CA4FC7"/>
    <w:rsid w:val="00CA548D"/>
    <w:rsid w:val="00CC5134"/>
    <w:rsid w:val="00CD7C64"/>
    <w:rsid w:val="00CE0AE2"/>
    <w:rsid w:val="00CE788E"/>
    <w:rsid w:val="00CF14C2"/>
    <w:rsid w:val="00CF1B02"/>
    <w:rsid w:val="00CF2580"/>
    <w:rsid w:val="00CF4BAD"/>
    <w:rsid w:val="00CF71EB"/>
    <w:rsid w:val="00D248EC"/>
    <w:rsid w:val="00D26E0D"/>
    <w:rsid w:val="00D27C95"/>
    <w:rsid w:val="00D31C86"/>
    <w:rsid w:val="00D3789A"/>
    <w:rsid w:val="00D44313"/>
    <w:rsid w:val="00D56A3D"/>
    <w:rsid w:val="00D63E2E"/>
    <w:rsid w:val="00D6798E"/>
    <w:rsid w:val="00D74FB6"/>
    <w:rsid w:val="00D94779"/>
    <w:rsid w:val="00DA6527"/>
    <w:rsid w:val="00DB7E2B"/>
    <w:rsid w:val="00DC77B3"/>
    <w:rsid w:val="00E07661"/>
    <w:rsid w:val="00E2136C"/>
    <w:rsid w:val="00E3064E"/>
    <w:rsid w:val="00E400D6"/>
    <w:rsid w:val="00E41AD7"/>
    <w:rsid w:val="00E51008"/>
    <w:rsid w:val="00E55BE8"/>
    <w:rsid w:val="00E5654A"/>
    <w:rsid w:val="00E7021C"/>
    <w:rsid w:val="00E842A5"/>
    <w:rsid w:val="00E941EF"/>
    <w:rsid w:val="00EA6C4A"/>
    <w:rsid w:val="00EB15C2"/>
    <w:rsid w:val="00ED765E"/>
    <w:rsid w:val="00EE55B8"/>
    <w:rsid w:val="00EF07A5"/>
    <w:rsid w:val="00EF4823"/>
    <w:rsid w:val="00F00ABB"/>
    <w:rsid w:val="00F030DD"/>
    <w:rsid w:val="00F16AA5"/>
    <w:rsid w:val="00F21632"/>
    <w:rsid w:val="00F34941"/>
    <w:rsid w:val="00F4484B"/>
    <w:rsid w:val="00F451A5"/>
    <w:rsid w:val="00F477A6"/>
    <w:rsid w:val="00F4794A"/>
    <w:rsid w:val="00F5093D"/>
    <w:rsid w:val="00F53C72"/>
    <w:rsid w:val="00F60EC1"/>
    <w:rsid w:val="00F62923"/>
    <w:rsid w:val="00F629D2"/>
    <w:rsid w:val="00F71C9F"/>
    <w:rsid w:val="00F76CB6"/>
    <w:rsid w:val="00F826D4"/>
    <w:rsid w:val="00F96388"/>
    <w:rsid w:val="00F97B2B"/>
    <w:rsid w:val="00FA7A2B"/>
    <w:rsid w:val="00FC22CB"/>
    <w:rsid w:val="00FC65B8"/>
    <w:rsid w:val="00FD5F97"/>
    <w:rsid w:val="00FD62BF"/>
    <w:rsid w:val="00FE6D67"/>
    <w:rsid w:val="00FF4290"/>
    <w:rsid w:val="00FF448B"/>
    <w:rsid w:val="00FF5474"/>
    <w:rsid w:val="1F3D58D3"/>
    <w:rsid w:val="1FD2196A"/>
    <w:rsid w:val="22025F2D"/>
    <w:rsid w:val="2DBB7D20"/>
    <w:rsid w:val="326C2300"/>
    <w:rsid w:val="40B31537"/>
    <w:rsid w:val="534704F3"/>
    <w:rsid w:val="59CA7788"/>
    <w:rsid w:val="6CC61C28"/>
    <w:rsid w:val="71B82FE4"/>
    <w:rsid w:val="720D5CAE"/>
    <w:rsid w:val="7C402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2"/>
    <w:unhideWhenUsed/>
    <w:qFormat/>
    <w:uiPriority w:val="99"/>
    <w:pPr>
      <w:spacing w:after="120" w:line="600" w:lineRule="exact"/>
      <w:ind w:firstLine="723" w:firstLineChars="200"/>
    </w:pPr>
    <w:rPr>
      <w:rFonts w:ascii="Times New Roman" w:hAnsi="Times New Roman" w:eastAsia="仿宋_GB2312" w:cs="Times New Roman"/>
      <w:sz w:val="32"/>
      <w:szCs w:val="32"/>
    </w:rPr>
  </w:style>
  <w:style w:type="paragraph" w:styleId="6">
    <w:name w:val="Body Text Indent"/>
    <w:basedOn w:val="1"/>
    <w:link w:val="30"/>
    <w:semiHidden/>
    <w:unhideWhenUsed/>
    <w:uiPriority w:val="99"/>
    <w:pPr>
      <w:spacing w:after="120"/>
      <w:ind w:left="420" w:leftChars="200"/>
    </w:pPr>
  </w:style>
  <w:style w:type="paragraph" w:styleId="7">
    <w:name w:val="Date"/>
    <w:basedOn w:val="1"/>
    <w:next w:val="1"/>
    <w:link w:val="35"/>
    <w:semiHidden/>
    <w:unhideWhenUsed/>
    <w:qFormat/>
    <w:uiPriority w:val="99"/>
    <w:pPr>
      <w:ind w:left="100" w:leftChars="2500"/>
    </w:pPr>
  </w:style>
  <w:style w:type="paragraph" w:styleId="8">
    <w:name w:val="Balloon Text"/>
    <w:basedOn w:val="1"/>
    <w:link w:val="34"/>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footnote text"/>
    <w:basedOn w:val="1"/>
    <w:link w:val="33"/>
    <w:semiHidden/>
    <w:unhideWhenUsed/>
    <w:qFormat/>
    <w:uiPriority w:val="99"/>
    <w:pPr>
      <w:snapToGrid w:val="0"/>
      <w:jc w:val="left"/>
    </w:pPr>
    <w:rPr>
      <w:sz w:val="18"/>
      <w:szCs w:val="18"/>
    </w:rPr>
  </w:style>
  <w:style w:type="paragraph" w:styleId="13">
    <w:name w:val="toc 2"/>
    <w:basedOn w:val="1"/>
    <w:next w:val="1"/>
    <w:qFormat/>
    <w:uiPriority w:val="39"/>
    <w:pPr>
      <w:ind w:left="420"/>
      <w:jc w:val="center"/>
    </w:pPr>
    <w:rPr>
      <w:rFonts w:ascii="楷体_GB2312" w:hAnsi="Calibri" w:eastAsia="楷体_GB2312" w:cs="Times New Roman"/>
      <w:sz w:val="32"/>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28"/>
    <w:qFormat/>
    <w:uiPriority w:val="10"/>
    <w:pPr>
      <w:spacing w:before="240" w:after="60"/>
      <w:jc w:val="center"/>
      <w:outlineLvl w:val="0"/>
    </w:pPr>
    <w:rPr>
      <w:rFonts w:asciiTheme="majorHAnsi" w:hAnsiTheme="majorHAnsi" w:eastAsiaTheme="majorEastAsia" w:cstheme="majorBidi"/>
      <w:b/>
      <w:bCs/>
      <w:sz w:val="32"/>
      <w:szCs w:val="32"/>
    </w:rPr>
  </w:style>
  <w:style w:type="paragraph" w:styleId="16">
    <w:name w:val="Body Text First Indent 2"/>
    <w:basedOn w:val="6"/>
    <w:link w:val="31"/>
    <w:unhideWhenUsed/>
    <w:qFormat/>
    <w:uiPriority w:val="99"/>
    <w:pPr>
      <w:spacing w:after="0" w:line="600" w:lineRule="exact"/>
      <w:ind w:firstLine="420" w:firstLineChars="200"/>
    </w:pPr>
    <w:rPr>
      <w:rFonts w:ascii="等线" w:hAnsi="等线" w:eastAsia="等线" w:cs="Times New Roman"/>
      <w:szCs w:val="24"/>
    </w:rPr>
  </w:style>
  <w:style w:type="table" w:styleId="18">
    <w:name w:val="Table Grid"/>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Emphasis"/>
    <w:basedOn w:val="19"/>
    <w:qFormat/>
    <w:uiPriority w:val="20"/>
    <w:rPr>
      <w:i/>
      <w:iCs/>
    </w:rPr>
  </w:style>
  <w:style w:type="character" w:styleId="22">
    <w:name w:val="Hyperlink"/>
    <w:basedOn w:val="19"/>
    <w:unhideWhenUsed/>
    <w:qFormat/>
    <w:uiPriority w:val="99"/>
    <w:rPr>
      <w:color w:val="0000FF"/>
      <w:u w:val="single"/>
    </w:rPr>
  </w:style>
  <w:style w:type="character" w:styleId="23">
    <w:name w:val="footnote reference"/>
    <w:basedOn w:val="19"/>
    <w:semiHidden/>
    <w:unhideWhenUsed/>
    <w:qFormat/>
    <w:uiPriority w:val="99"/>
    <w:rPr>
      <w:vertAlign w:val="superscript"/>
    </w:rPr>
  </w:style>
  <w:style w:type="character" w:customStyle="1" w:styleId="24">
    <w:name w:val="页眉 字符"/>
    <w:basedOn w:val="19"/>
    <w:link w:val="10"/>
    <w:qFormat/>
    <w:uiPriority w:val="99"/>
    <w:rPr>
      <w:sz w:val="18"/>
      <w:szCs w:val="18"/>
    </w:rPr>
  </w:style>
  <w:style w:type="character" w:customStyle="1" w:styleId="25">
    <w:name w:val="页脚 字符"/>
    <w:basedOn w:val="19"/>
    <w:link w:val="9"/>
    <w:qFormat/>
    <w:uiPriority w:val="99"/>
    <w:rPr>
      <w:sz w:val="18"/>
      <w:szCs w:val="18"/>
    </w:rPr>
  </w:style>
  <w:style w:type="character" w:customStyle="1" w:styleId="26">
    <w:name w:val="标题 1 字符"/>
    <w:basedOn w:val="19"/>
    <w:link w:val="2"/>
    <w:qFormat/>
    <w:uiPriority w:val="9"/>
    <w:rPr>
      <w:b/>
      <w:bCs/>
      <w:kern w:val="44"/>
      <w:sz w:val="44"/>
      <w:szCs w:val="44"/>
    </w:rPr>
  </w:style>
  <w:style w:type="character" w:customStyle="1" w:styleId="27">
    <w:name w:val="标题 2 字符"/>
    <w:basedOn w:val="19"/>
    <w:link w:val="3"/>
    <w:qFormat/>
    <w:uiPriority w:val="9"/>
    <w:rPr>
      <w:rFonts w:asciiTheme="majorHAnsi" w:hAnsiTheme="majorHAnsi" w:eastAsiaTheme="majorEastAsia" w:cstheme="majorBidi"/>
      <w:b/>
      <w:bCs/>
      <w:sz w:val="32"/>
      <w:szCs w:val="32"/>
    </w:rPr>
  </w:style>
  <w:style w:type="character" w:customStyle="1" w:styleId="28">
    <w:name w:val="标题 字符"/>
    <w:basedOn w:val="19"/>
    <w:link w:val="15"/>
    <w:qFormat/>
    <w:uiPriority w:val="10"/>
    <w:rPr>
      <w:rFonts w:asciiTheme="majorHAnsi" w:hAnsiTheme="majorHAnsi" w:eastAsiaTheme="majorEastAsia" w:cstheme="majorBidi"/>
      <w:b/>
      <w:bCs/>
      <w:sz w:val="32"/>
      <w:szCs w:val="32"/>
    </w:rPr>
  </w:style>
  <w:style w:type="character" w:customStyle="1" w:styleId="29">
    <w:name w:val="标题 3 字符"/>
    <w:basedOn w:val="19"/>
    <w:link w:val="4"/>
    <w:semiHidden/>
    <w:qFormat/>
    <w:uiPriority w:val="9"/>
    <w:rPr>
      <w:b/>
      <w:bCs/>
      <w:sz w:val="32"/>
      <w:szCs w:val="32"/>
    </w:rPr>
  </w:style>
  <w:style w:type="character" w:customStyle="1" w:styleId="30">
    <w:name w:val="正文文本缩进 字符"/>
    <w:basedOn w:val="19"/>
    <w:link w:val="6"/>
    <w:semiHidden/>
    <w:qFormat/>
    <w:uiPriority w:val="99"/>
  </w:style>
  <w:style w:type="character" w:customStyle="1" w:styleId="31">
    <w:name w:val="正文文本首行缩进 2 字符"/>
    <w:basedOn w:val="30"/>
    <w:link w:val="16"/>
    <w:qFormat/>
    <w:uiPriority w:val="99"/>
    <w:rPr>
      <w:rFonts w:ascii="等线" w:hAnsi="等线" w:eastAsia="等线" w:cs="Times New Roman"/>
      <w:szCs w:val="24"/>
    </w:rPr>
  </w:style>
  <w:style w:type="character" w:customStyle="1" w:styleId="32">
    <w:name w:val="正文文本 字符"/>
    <w:basedOn w:val="19"/>
    <w:link w:val="5"/>
    <w:qFormat/>
    <w:uiPriority w:val="99"/>
    <w:rPr>
      <w:rFonts w:ascii="Times New Roman" w:hAnsi="Times New Roman" w:eastAsia="仿宋_GB2312" w:cs="Times New Roman"/>
      <w:sz w:val="32"/>
      <w:szCs w:val="32"/>
    </w:rPr>
  </w:style>
  <w:style w:type="character" w:customStyle="1" w:styleId="33">
    <w:name w:val="脚注文本 字符"/>
    <w:basedOn w:val="19"/>
    <w:link w:val="12"/>
    <w:semiHidden/>
    <w:qFormat/>
    <w:uiPriority w:val="99"/>
    <w:rPr>
      <w:sz w:val="18"/>
      <w:szCs w:val="18"/>
    </w:rPr>
  </w:style>
  <w:style w:type="character" w:customStyle="1" w:styleId="34">
    <w:name w:val="批注框文本 字符"/>
    <w:basedOn w:val="19"/>
    <w:link w:val="8"/>
    <w:semiHidden/>
    <w:qFormat/>
    <w:uiPriority w:val="99"/>
    <w:rPr>
      <w:sz w:val="18"/>
      <w:szCs w:val="18"/>
    </w:rPr>
  </w:style>
  <w:style w:type="character" w:customStyle="1" w:styleId="35">
    <w:name w:val="日期 字符"/>
    <w:basedOn w:val="19"/>
    <w:link w:val="7"/>
    <w:semiHidden/>
    <w:qFormat/>
    <w:uiPriority w:val="99"/>
  </w:style>
  <w:style w:type="paragraph" w:customStyle="1" w:styleId="3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接待游客</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800.1</c:v>
                </c:pt>
                <c:pt idx="1">
                  <c:v>860</c:v>
                </c:pt>
                <c:pt idx="2">
                  <c:v>975</c:v>
                </c:pt>
                <c:pt idx="3">
                  <c:v>1246</c:v>
                </c:pt>
                <c:pt idx="4">
                  <c:v>1477.9</c:v>
                </c:pt>
                <c:pt idx="5">
                  <c:v>690.21</c:v>
                </c:pt>
              </c:numCache>
            </c:numRef>
          </c:val>
        </c:ser>
        <c:dLbls>
          <c:showLegendKey val="0"/>
          <c:showVal val="0"/>
          <c:showCatName val="0"/>
          <c:showSerName val="0"/>
          <c:showPercent val="0"/>
          <c:showBubbleSize val="0"/>
        </c:dLbls>
        <c:gapWidth val="219"/>
        <c:overlap val="-27"/>
        <c:axId val="336463360"/>
        <c:axId val="336464896"/>
      </c:barChart>
      <c:lineChart>
        <c:grouping val="standard"/>
        <c:varyColors val="0"/>
        <c:ser>
          <c:idx val="1"/>
          <c:order val="1"/>
          <c:tx>
            <c:strRef>
              <c:f>Sheet1!$C$1</c:f>
              <c:strCache>
                <c:ptCount val="1"/>
                <c:pt idx="0">
                  <c:v>旅游总收入</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54.2</c:v>
                </c:pt>
                <c:pt idx="1">
                  <c:v>62.3</c:v>
                </c:pt>
                <c:pt idx="2">
                  <c:v>91.2</c:v>
                </c:pt>
                <c:pt idx="3">
                  <c:v>115.6</c:v>
                </c:pt>
                <c:pt idx="4">
                  <c:v>137.7</c:v>
                </c:pt>
                <c:pt idx="5">
                  <c:v>62.72</c:v>
                </c:pt>
              </c:numCache>
            </c:numRef>
          </c:val>
          <c:smooth val="0"/>
        </c:ser>
        <c:dLbls>
          <c:showLegendKey val="0"/>
          <c:showVal val="0"/>
          <c:showCatName val="0"/>
          <c:showSerName val="0"/>
          <c:showPercent val="0"/>
          <c:showBubbleSize val="0"/>
        </c:dLbls>
        <c:marker val="1"/>
        <c:smooth val="0"/>
        <c:axId val="229283328"/>
        <c:axId val="346163456"/>
      </c:lineChart>
      <c:catAx>
        <c:axId val="33646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464896"/>
        <c:crosses val="autoZero"/>
        <c:auto val="1"/>
        <c:lblAlgn val="ctr"/>
        <c:lblOffset val="100"/>
        <c:noMultiLvlLbl val="0"/>
      </c:catAx>
      <c:valAx>
        <c:axId val="336464896"/>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a:t>
                </a:r>
                <a:r>
                  <a:rPr lang="zh-CN" altLang="en-US"/>
                  <a:t>万人</a:t>
                </a:r>
                <a:r>
                  <a:rPr lang="en-US" altLang="zh-CN"/>
                  <a:t>)</a:t>
                </a:r>
                <a:endParaRPr lang="zh-CN" altLang="en-US"/>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463360"/>
        <c:crosses val="autoZero"/>
        <c:crossBetween val="between"/>
      </c:valAx>
      <c:catAx>
        <c:axId val="229283328"/>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46163456"/>
        <c:crosses val="autoZero"/>
        <c:auto val="1"/>
        <c:lblAlgn val="ctr"/>
        <c:lblOffset val="100"/>
        <c:noMultiLvlLbl val="0"/>
      </c:catAx>
      <c:valAx>
        <c:axId val="346163456"/>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（亿元）</a:t>
                </a:r>
                <a:endParaRPr lang="zh-CN" altLang="en-US"/>
              </a:p>
            </c:rich>
          </c:tx>
          <c:layout/>
          <c:overlay val="0"/>
          <c:spPr>
            <a:noFill/>
            <a:ln>
              <a:noFill/>
            </a:ln>
            <a:effectLst/>
          </c:spPr>
        </c:title>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283328"/>
        <c:crosses val="max"/>
        <c:crossBetween val="between"/>
      </c:valAx>
      <c:spPr>
        <a:noFill/>
        <a:ln>
          <a:solidFill>
            <a:schemeClr val="tx1">
              <a:lumMod val="15000"/>
              <a:lumOff val="85000"/>
            </a:schemeClr>
          </a:solid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第一产业</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0.0585917951341529</c:v>
                </c:pt>
                <c:pt idx="1">
                  <c:v>0.0581689914900002</c:v>
                </c:pt>
                <c:pt idx="2">
                  <c:v>0.045699294030822</c:v>
                </c:pt>
                <c:pt idx="3">
                  <c:v>0.0361070804744585</c:v>
                </c:pt>
                <c:pt idx="4">
                  <c:v>0.0453488951884902</c:v>
                </c:pt>
                <c:pt idx="5">
                  <c:v>0.0428532888605484</c:v>
                </c:pt>
              </c:numCache>
            </c:numRef>
          </c:val>
        </c:ser>
        <c:ser>
          <c:idx val="1"/>
          <c:order val="1"/>
          <c:tx>
            <c:strRef>
              <c:f>Sheet1!$C$1</c:f>
              <c:strCache>
                <c:ptCount val="1"/>
                <c:pt idx="0">
                  <c:v>第二产业</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0.575960682628237</c:v>
                </c:pt>
                <c:pt idx="1">
                  <c:v>0.540949719334116</c:v>
                </c:pt>
                <c:pt idx="2">
                  <c:v>0.590633653180795</c:v>
                </c:pt>
                <c:pt idx="3">
                  <c:v>0.613612835560072</c:v>
                </c:pt>
                <c:pt idx="4">
                  <c:v>0.579437875709792</c:v>
                </c:pt>
                <c:pt idx="5">
                  <c:v>0.600368699007538</c:v>
                </c:pt>
              </c:numCache>
            </c:numRef>
          </c:val>
        </c:ser>
        <c:ser>
          <c:idx val="2"/>
          <c:order val="2"/>
          <c:tx>
            <c:strRef>
              <c:f>Sheet1!$D$1</c:f>
              <c:strCache>
                <c:ptCount val="1"/>
                <c:pt idx="0">
                  <c:v>第三产业</c:v>
                </c:pt>
              </c:strCache>
            </c:strRef>
          </c:tx>
          <c:spPr>
            <a:solidFill>
              <a:schemeClr val="accent3"/>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Sheet1!$A$2:$A$7</c:f>
              <c:numCache>
                <c:formatCode>General</c:formatCode>
                <c:ptCount val="6"/>
                <c:pt idx="0">
                  <c:v>2015</c:v>
                </c:pt>
                <c:pt idx="1">
                  <c:v>2016</c:v>
                </c:pt>
                <c:pt idx="2">
                  <c:v>2017</c:v>
                </c:pt>
                <c:pt idx="3">
                  <c:v>2018</c:v>
                </c:pt>
                <c:pt idx="4">
                  <c:v>2019</c:v>
                </c:pt>
                <c:pt idx="5">
                  <c:v>2020</c:v>
                </c:pt>
              </c:numCache>
            </c:numRef>
          </c:cat>
          <c:val>
            <c:numRef>
              <c:f>Sheet1!$D$2:$D$7</c:f>
              <c:numCache>
                <c:formatCode>General</c:formatCode>
                <c:ptCount val="6"/>
                <c:pt idx="0">
                  <c:v>0.36544752223761</c:v>
                </c:pt>
                <c:pt idx="1">
                  <c:v>0.400881289175884</c:v>
                </c:pt>
                <c:pt idx="2">
                  <c:v>0.363667052788383</c:v>
                </c:pt>
                <c:pt idx="3">
                  <c:v>0.35028008396547</c:v>
                </c:pt>
                <c:pt idx="4">
                  <c:v>0.375213229101718</c:v>
                </c:pt>
                <c:pt idx="5">
                  <c:v>0.356778012131914</c:v>
                </c:pt>
              </c:numCache>
            </c:numRef>
          </c:val>
        </c:ser>
        <c:dLbls>
          <c:showLegendKey val="0"/>
          <c:showVal val="0"/>
          <c:showCatName val="0"/>
          <c:showSerName val="0"/>
          <c:showPercent val="0"/>
          <c:showBubbleSize val="0"/>
        </c:dLbls>
        <c:gapWidth val="150"/>
        <c:overlap val="100"/>
        <c:axId val="229320192"/>
        <c:axId val="229321728"/>
      </c:barChart>
      <c:catAx>
        <c:axId val="2293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321728"/>
        <c:crosses val="autoZero"/>
        <c:auto val="1"/>
        <c:lblAlgn val="ctr"/>
        <c:lblOffset val="100"/>
        <c:noMultiLvlLbl val="0"/>
      </c:catAx>
      <c:valAx>
        <c:axId val="229321728"/>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320192"/>
        <c:crosses val="autoZero"/>
        <c:crossBetween val="between"/>
      </c:valAx>
      <c:spPr>
        <a:noFill/>
        <a:ln>
          <a:solidFill>
            <a:schemeClr val="tx1">
              <a:lumMod val="15000"/>
              <a:lumOff val="85000"/>
            </a:schemeClr>
          </a:solid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城镇登记失业率</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0.00%</c:formatCode>
                <c:ptCount val="5"/>
                <c:pt idx="0">
                  <c:v>0.0135</c:v>
                </c:pt>
                <c:pt idx="1">
                  <c:v>0.0079</c:v>
                </c:pt>
                <c:pt idx="2">
                  <c:v>0.0118</c:v>
                </c:pt>
                <c:pt idx="3">
                  <c:v>0.0132</c:v>
                </c:pt>
                <c:pt idx="4">
                  <c:v>0.0251</c:v>
                </c:pt>
              </c:numCache>
            </c:numRef>
          </c:val>
          <c:smooth val="0"/>
        </c:ser>
        <c:dLbls>
          <c:showLegendKey val="0"/>
          <c:showVal val="0"/>
          <c:showCatName val="0"/>
          <c:showSerName val="0"/>
          <c:showPercent val="0"/>
          <c:showBubbleSize val="0"/>
        </c:dLbls>
        <c:marker val="1"/>
        <c:smooth val="0"/>
        <c:axId val="336515456"/>
        <c:axId val="336516992"/>
      </c:lineChart>
      <c:catAx>
        <c:axId val="33651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516992"/>
        <c:crosses val="autoZero"/>
        <c:auto val="1"/>
        <c:lblAlgn val="ctr"/>
        <c:lblOffset val="100"/>
        <c:noMultiLvlLbl val="0"/>
      </c:catAx>
      <c:valAx>
        <c:axId val="336516992"/>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515456"/>
        <c:crosses val="autoZero"/>
        <c:crossBetween val="between"/>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24E4-3B49-439A-9B17-0A9ACEB27578}">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21113</Words>
  <Characters>21454</Characters>
  <Lines>165</Lines>
  <Paragraphs>46</Paragraphs>
  <TotalTime>1</TotalTime>
  <ScaleCrop>false</ScaleCrop>
  <LinksUpToDate>false</LinksUpToDate>
  <CharactersWithSpaces>21969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2020-12-24T12:25:00Z</dcterms:created>
  <dc:creator>朱 波</dc:creator>
  <cp:lastModifiedBy>Lenovo</cp:lastModifiedBy>
  <dcterms:modified xsi:type="dcterms:W3CDTF">2022-08-16T08:05:04Z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3ABDC9A4B77441E9AD5EE2D02D780B34</vt:lpwstr>
  </property>
</Properties>
</file>