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55" w:rsidRDefault="00A55C55" w:rsidP="00597A46">
      <w:pPr>
        <w:ind w:firstLineChars="300" w:firstLine="1205"/>
        <w:rPr>
          <w:rFonts w:ascii="宋体" w:eastAsia="宋体" w:hAnsi="宋体"/>
          <w:b/>
          <w:bCs/>
          <w:sz w:val="40"/>
          <w:szCs w:val="40"/>
        </w:rPr>
      </w:pPr>
      <w:r w:rsidRPr="00667E9E">
        <w:rPr>
          <w:rFonts w:ascii="宋体" w:eastAsia="宋体" w:hAnsi="宋体" w:hint="eastAsia"/>
          <w:b/>
          <w:bCs/>
          <w:sz w:val="40"/>
          <w:szCs w:val="40"/>
        </w:rPr>
        <w:t>阳城县</w:t>
      </w:r>
      <w:proofErr w:type="gramStart"/>
      <w:r w:rsidRPr="00667E9E">
        <w:rPr>
          <w:rFonts w:ascii="宋体" w:eastAsia="宋体" w:hAnsi="宋体" w:hint="eastAsia"/>
          <w:b/>
          <w:bCs/>
          <w:sz w:val="40"/>
          <w:szCs w:val="40"/>
        </w:rPr>
        <w:t>人社局</w:t>
      </w:r>
      <w:proofErr w:type="gramEnd"/>
      <w:r>
        <w:rPr>
          <w:rFonts w:ascii="宋体" w:eastAsia="宋体" w:hAnsi="宋体" w:hint="eastAsia"/>
          <w:b/>
          <w:bCs/>
          <w:sz w:val="40"/>
          <w:szCs w:val="40"/>
        </w:rPr>
        <w:t>就业失业登记</w:t>
      </w:r>
      <w:r w:rsidR="00F31514">
        <w:rPr>
          <w:rFonts w:ascii="宋体" w:eastAsia="宋体" w:hAnsi="宋体" w:hint="eastAsia"/>
          <w:b/>
          <w:bCs/>
          <w:sz w:val="40"/>
          <w:szCs w:val="40"/>
        </w:rPr>
        <w:t>服务指南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426"/>
      </w:tblGrid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二、实施部门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阳城县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事项类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就业创业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四、适用范围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Default="00F31514" w:rsidP="00F31514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【部门规章】《就业服务与就业管理规定》(2014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人社部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令第23号）第六十一条 劳动保障行政部门应当建立健全就业登记制度和失业登记制度，完善就业管理和失业管理。公共就业服务机构负责就业登记与失业登记工作，建立专门台帐，及时、准确地记录劳动者就业与失业变动情况，并做好相应统计工作。</w:t>
            </w:r>
            <w:r>
              <w:rPr>
                <w:rFonts w:ascii="仿宋" w:eastAsia="仿宋" w:hAnsi="仿宋" w:hint="eastAsia"/>
                <w:color w:val="000000"/>
              </w:rPr>
              <w:br/>
              <w:t>第六十二条 劳动者被用人单位招用的，由用人单位为劳动者办理就业登记。用人单位招用劳动者和与劳动者终止或者解除劳动关系，应当到当地公共就业服务机构备案，为劳动者办理就业登记手续。用人单位招用人员后，应当于录用之日起30日内办理登记手续；用人单位与职工终止或者解除劳动关系后，应当于15日内办理登记手续。</w:t>
            </w:r>
          </w:p>
          <w:p w:rsidR="00F31514" w:rsidRPr="001138D6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31514" w:rsidRPr="003F58F5" w:rsidTr="00791801">
        <w:trPr>
          <w:trHeight w:val="1052"/>
        </w:trPr>
        <w:tc>
          <w:tcPr>
            <w:tcW w:w="1394" w:type="pct"/>
            <w:shd w:val="clear" w:color="auto" w:fill="auto"/>
            <w:noWrap/>
            <w:vAlign w:val="center"/>
          </w:tcPr>
          <w:p w:rsidR="00F31514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六、办理条件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劳动者被用人单位招用</w:t>
            </w:r>
            <w:r>
              <w:rPr>
                <w:rFonts w:ascii="仿宋" w:eastAsia="仿宋" w:hAnsi="仿宋" w:hint="eastAsia"/>
                <w:color w:val="000000"/>
              </w:rPr>
              <w:t>或</w:t>
            </w:r>
            <w:r>
              <w:rPr>
                <w:rFonts w:ascii="仿宋" w:eastAsia="仿宋" w:hAnsi="仿宋" w:hint="eastAsia"/>
                <w:color w:val="000000"/>
              </w:rPr>
              <w:t>用人单位招用劳动者和与劳动者终止或者解除劳动关系</w:t>
            </w:r>
          </w:p>
        </w:tc>
      </w:tr>
      <w:tr w:rsidR="00F31514" w:rsidRPr="003F58F5" w:rsidTr="00791801">
        <w:trPr>
          <w:trHeight w:val="105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办理材料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F31514" w:rsidRDefault="00F31514" w:rsidP="00791801">
            <w:pPr>
              <w:widowControl/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1、《就业创业证》申领登记表（原件1份）</w:t>
            </w:r>
            <w:r>
              <w:rPr>
                <w:rFonts w:ascii="仿宋" w:eastAsia="仿宋" w:hAnsi="仿宋" w:hint="eastAsia"/>
                <w:color w:val="000000"/>
              </w:rPr>
              <w:br/>
              <w:t>2、身份证（复印件1份、核验原件）；</w:t>
            </w:r>
            <w:r>
              <w:rPr>
                <w:rFonts w:ascii="仿宋" w:eastAsia="仿宋" w:hAnsi="仿宋" w:hint="eastAsia"/>
                <w:color w:val="000000"/>
              </w:rPr>
              <w:br/>
              <w:t>3、毕业证（全日制大专及以上劳动者提供复印件1份，核验原件；高中、职高、中专、技校及以下劳动者不提供）</w:t>
            </w:r>
            <w:r>
              <w:rPr>
                <w:rFonts w:ascii="仿宋" w:eastAsia="仿宋" w:hAnsi="仿宋" w:hint="eastAsia"/>
                <w:color w:val="000000"/>
              </w:rPr>
              <w:br/>
              <w:t>4、两张两寸红底免冠照片</w:t>
            </w:r>
            <w:r>
              <w:rPr>
                <w:rFonts w:ascii="仿宋" w:eastAsia="仿宋" w:hAnsi="仿宋" w:hint="eastAsia"/>
                <w:color w:val="000000"/>
              </w:rPr>
              <w:br/>
              <w:t>5、失业人员提供与单位解除协议协议书（复印件1份，核验原件）；个体工商户和私营企业停止经营的提供营业执照注销证明（复印件1份，核验原件）；退役士兵提供退役证（复印件1份，核验原件）；</w:t>
            </w:r>
            <w:r>
              <w:rPr>
                <w:rFonts w:ascii="仿宋" w:eastAsia="仿宋" w:hAnsi="仿宋" w:hint="eastAsia"/>
                <w:color w:val="000000"/>
              </w:rPr>
              <w:br/>
              <w:t>6、就业人员提供与单位签订的劳动合同书或营业执照（复印件1份，核验原件）。</w:t>
            </w:r>
          </w:p>
        </w:tc>
      </w:tr>
      <w:tr w:rsidR="00F31514" w:rsidRPr="003F58F5" w:rsidTr="00791801">
        <w:trPr>
          <w:trHeight w:val="968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八、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办理方式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办理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九、办理流程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见流程图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、办理时限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办结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收费依据及标准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不收费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十二、结果送达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当场送达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十三、行政救济途径</w:t>
            </w:r>
          </w:p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与方式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行政复议、行政诉讼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咨询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F31514" w:rsidRDefault="00F31514" w:rsidP="00791801">
            <w:pPr>
              <w:widowControl/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现场：阳城县劳动就业和社会保障服务中心三楼证件办理窗口</w:t>
            </w:r>
            <w:r>
              <w:rPr>
                <w:rFonts w:ascii="仿宋" w:eastAsia="仿宋" w:hAnsi="仿宋" w:hint="eastAsia"/>
                <w:color w:val="000000"/>
              </w:rPr>
              <w:br/>
              <w:t>电话：0356-3200286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十五、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监督投诉渠道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3F58F5" w:rsidRDefault="00F31514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人社局党办</w:t>
            </w:r>
            <w:proofErr w:type="gramEnd"/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电话：0356-3200282</w:t>
            </w:r>
          </w:p>
        </w:tc>
      </w:tr>
      <w:tr w:rsidR="00F31514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F31514" w:rsidRPr="003F58F5" w:rsidRDefault="00F31514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十六、办理进程和结果查询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F31514" w:rsidRPr="00F31514" w:rsidRDefault="00F31514" w:rsidP="00791801">
            <w:pPr>
              <w:widowControl/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现场：阳城县劳动就业和社会保障服务中心三楼证件办理窗口</w:t>
            </w:r>
            <w:r>
              <w:rPr>
                <w:rFonts w:ascii="仿宋" w:eastAsia="仿宋" w:hAnsi="仿宋" w:hint="eastAsia"/>
                <w:color w:val="000000"/>
              </w:rPr>
              <w:br/>
              <w:t>电话：0356-3200286</w:t>
            </w:r>
          </w:p>
        </w:tc>
      </w:tr>
    </w:tbl>
    <w:p w:rsidR="00F31514" w:rsidRDefault="00F31514" w:rsidP="00597A46">
      <w:pPr>
        <w:ind w:firstLineChars="300" w:firstLine="1205"/>
        <w:rPr>
          <w:rFonts w:ascii="宋体" w:eastAsia="宋体" w:hAnsi="宋体"/>
          <w:b/>
          <w:bCs/>
          <w:sz w:val="40"/>
          <w:szCs w:val="40"/>
        </w:rPr>
      </w:pPr>
    </w:p>
    <w:p w:rsidR="00F31514" w:rsidRDefault="00F31514" w:rsidP="00597A46">
      <w:pPr>
        <w:ind w:firstLineChars="300" w:firstLine="1205"/>
        <w:rPr>
          <w:rFonts w:ascii="宋体" w:eastAsia="宋体" w:hAnsi="宋体" w:hint="eastAsia"/>
          <w:b/>
          <w:bCs/>
          <w:sz w:val="40"/>
          <w:szCs w:val="40"/>
        </w:rPr>
      </w:pPr>
      <w:r>
        <w:rPr>
          <w:rFonts w:ascii="宋体" w:eastAsia="宋体" w:hAnsi="宋体"/>
          <w:b/>
          <w:bCs/>
          <w:sz w:val="40"/>
          <w:szCs w:val="40"/>
        </w:rPr>
        <w:br w:type="page"/>
      </w:r>
      <w:bookmarkStart w:id="0" w:name="_GoBack"/>
      <w:bookmarkEnd w:id="0"/>
      <w:r>
        <w:rPr>
          <w:rFonts w:ascii="宋体" w:eastAsia="宋体" w:hAnsi="宋体" w:hint="eastAsia"/>
          <w:b/>
          <w:bCs/>
          <w:sz w:val="40"/>
          <w:szCs w:val="40"/>
        </w:rPr>
        <w:lastRenderedPageBreak/>
        <w:t>十七、办理流程</w:t>
      </w:r>
    </w:p>
    <w:p w:rsidR="00A55C55" w:rsidRDefault="001D59E9" w:rsidP="00667E9E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rect id="矩形 28" o:spid="_x0000_s1026" style="position:absolute;left:0;text-align:left;margin-left:252pt;margin-top:11.25pt;width:176.55pt;height:391.7pt;z-index:14;visibility:visible;v-text-anchor:middle" filled="f" strokeweight="1pt">
            <v:textbox>
              <w:txbxContent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一、办理就业登记，提供以下材料；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color w:val="000000"/>
                      <w:spacing w:val="-4"/>
                      <w:sz w:val="16"/>
                      <w:szCs w:val="18"/>
                    </w:rPr>
                    <w:t>1</w:t>
                  </w: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、户口本、身份证、学历证明原件及复印件；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color w:val="000000"/>
                      <w:spacing w:val="-4"/>
                      <w:sz w:val="16"/>
                      <w:szCs w:val="18"/>
                    </w:rPr>
                    <w:t>2</w:t>
                  </w: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、两张二寸红底免冠相片；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color w:val="000000"/>
                      <w:spacing w:val="-4"/>
                      <w:sz w:val="16"/>
                      <w:szCs w:val="18"/>
                    </w:rPr>
                    <w:t>3</w:t>
                  </w: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、被用人单位招用的，提供与用人单位签订的劳动合同；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从事个体经营或灵活就业的，提供营业执照（副本）或其他相关证明；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二、办理失业登记，提供以下材料；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color w:val="000000"/>
                      <w:spacing w:val="-4"/>
                      <w:sz w:val="16"/>
                      <w:szCs w:val="18"/>
                    </w:rPr>
                    <w:t>1</w:t>
                  </w: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、没有就业经历的，提供户口本、身份证、学历证明源件及复印件、两张二寸红底免冠照片、户口所在地出具的未就业证明；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color w:val="000000"/>
                      <w:spacing w:val="-4"/>
                      <w:sz w:val="16"/>
                      <w:szCs w:val="18"/>
                    </w:rPr>
                    <w:t>2</w:t>
                  </w: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、与用人单位终止或解除劳动关系的，提供户口本、身份证、学历证明原件及复印件、两张二寸紅底免冠相片、终止或解除</w:t>
                  </w:r>
                  <w:proofErr w:type="gramStart"/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劳功关系</w:t>
                  </w:r>
                  <w:proofErr w:type="gramEnd"/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的证明；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color w:val="000000"/>
                      <w:spacing w:val="-4"/>
                      <w:sz w:val="16"/>
                      <w:szCs w:val="18"/>
                    </w:rPr>
                    <w:t>3</w:t>
                  </w: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、因停业、关闭、破产停止经营的个体工商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户主企主，提供户口本、身份证、学历证明原件及复印件、两张二寸红底免冠照片、停止经营的相关证明；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color w:val="000000"/>
                      <w:spacing w:val="-4"/>
                      <w:sz w:val="16"/>
                      <w:szCs w:val="18"/>
                    </w:rPr>
                    <w:t>4</w:t>
                  </w: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、农村进城务工人员和其他非本地户籍人员，提供户口本、身份证、学历证明原件及复印件、两张二寸红底免冠相片、常住地居住证明和原劳动合同、参加社会保险等能证明稳定</w:t>
                  </w:r>
                  <w:proofErr w:type="gramStart"/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定</w:t>
                  </w:r>
                  <w:proofErr w:type="gramEnd"/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就业</w:t>
                  </w:r>
                  <w:r w:rsidRPr="00196DB0">
                    <w:rPr>
                      <w:color w:val="000000"/>
                      <w:spacing w:val="-4"/>
                      <w:sz w:val="16"/>
                      <w:szCs w:val="18"/>
                    </w:rPr>
                    <w:tab/>
                    <w:t>6</w:t>
                  </w: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个月以上的相关材料。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与用人单位终止或解除劳动关系的，还应提供终止或解除劳动关系的证明。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因停产、关闭、破产停止经营的个体工商户业主或私营企业业主，还应提供停止经营的证明。</w:t>
                  </w:r>
                </w:p>
                <w:p w:rsidR="00A55C55" w:rsidRPr="00196DB0" w:rsidRDefault="00A55C55" w:rsidP="00741307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三、办理求职登记，提供以下材料；</w:t>
                  </w:r>
                </w:p>
                <w:p w:rsidR="00A55C55" w:rsidRPr="00196DB0" w:rsidRDefault="00A55C55" w:rsidP="00566824">
                  <w:pPr>
                    <w:spacing w:line="240" w:lineRule="exact"/>
                    <w:jc w:val="left"/>
                    <w:rPr>
                      <w:color w:val="000000"/>
                      <w:spacing w:val="-4"/>
                      <w:sz w:val="16"/>
                      <w:szCs w:val="18"/>
                    </w:rPr>
                  </w:pPr>
                  <w:r w:rsidRPr="00196DB0">
                    <w:rPr>
                      <w:rFonts w:hint="eastAsia"/>
                      <w:color w:val="000000"/>
                      <w:spacing w:val="-4"/>
                      <w:sz w:val="16"/>
                      <w:szCs w:val="18"/>
                    </w:rPr>
                    <w:t>农村进城务工人员和非本地户籍人员办理求职登记，提供户口本、身份证、学历证明原件及复印件、两张二寸红底免冠相片、户口所在地出具的未就业证明。</w:t>
                  </w:r>
                </w:p>
              </w:txbxContent>
            </v:textbox>
          </v:rect>
        </w:pict>
      </w:r>
      <w:r>
        <w:rPr>
          <w:noProof/>
        </w:rPr>
        <w:pict>
          <v:roundrect id="矩形: 圆角 2" o:spid="_x0000_s1027" style="position:absolute;left:0;text-align:left;margin-left:122.8pt;margin-top:11.7pt;width:102.45pt;height:36.45pt;z-index:1;visibility:visible;mso-position-horizontal-relative:margin;v-text-anchor:middle" arcsize="10923f" filled="f" strokeweight="1pt">
            <v:stroke joinstyle="miter"/>
            <v:textbox>
              <w:txbxContent>
                <w:p w:rsidR="00A55C55" w:rsidRPr="00196DB0" w:rsidRDefault="00A55C55" w:rsidP="00667E9E">
                  <w:pPr>
                    <w:jc w:val="center"/>
                    <w:rPr>
                      <w:color w:val="000000"/>
                    </w:rPr>
                  </w:pPr>
                  <w:r w:rsidRPr="00196DB0">
                    <w:rPr>
                      <w:rFonts w:hint="eastAsia"/>
                      <w:color w:val="000000"/>
                    </w:rPr>
                    <w:t>提出申请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3" o:spid="_x0000_s1028" type="#_x0000_t4" style="position:absolute;left:0;text-align:left;margin-left:114.45pt;margin-top:99.5pt;width:118.35pt;height:42.45pt;z-index:2;visibility:visible;mso-position-horizontal-relative:margin;v-text-anchor:middle" filled="f" strokeweight="1pt">
            <v:textbox>
              <w:txbxContent>
                <w:p w:rsidR="00A55C55" w:rsidRPr="00196DB0" w:rsidRDefault="00A55C55" w:rsidP="00667E9E">
                  <w:pPr>
                    <w:jc w:val="center"/>
                    <w:rPr>
                      <w:color w:val="000000"/>
                    </w:rPr>
                  </w:pPr>
                  <w:r w:rsidRPr="00196DB0">
                    <w:rPr>
                      <w:rFonts w:hint="eastAsia"/>
                      <w:color w:val="000000"/>
                    </w:rPr>
                    <w:t>审核资料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矩形 15" o:spid="_x0000_s1029" style="position:absolute;left:0;text-align:left;margin-left:-4.3pt;margin-top:11.5pt;width:83.05pt;height:36.45pt;z-index:7;visibility:visible;v-text-anchor:middle" filled="f" strokeweight="1pt">
            <v:textbox>
              <w:txbxContent>
                <w:p w:rsidR="00A55C55" w:rsidRPr="00196DB0" w:rsidRDefault="00A55C55" w:rsidP="00667E9E">
                  <w:pPr>
                    <w:jc w:val="center"/>
                    <w:rPr>
                      <w:color w:val="000000"/>
                    </w:rPr>
                  </w:pPr>
                  <w:r w:rsidRPr="00196DB0">
                    <w:rPr>
                      <w:rFonts w:hint="eastAsia"/>
                      <w:color w:val="000000"/>
                    </w:rPr>
                    <w:t>资料补正</w:t>
                  </w:r>
                </w:p>
              </w:txbxContent>
            </v:textbox>
          </v:rect>
        </w:pict>
      </w:r>
      <w:r>
        <w:rPr>
          <w:noProof/>
        </w:rPr>
        <w:pict>
          <v:rect id="矩形 4" o:spid="_x0000_s1030" style="position:absolute;left:0;text-align:left;margin-left:130.6pt;margin-top:193.4pt;width:87.05pt;height:36.45pt;z-index:3;visibility:visible;v-text-anchor:middle" filled="f" strokeweight="1pt">
            <v:textbox>
              <w:txbxContent>
                <w:p w:rsidR="00A55C55" w:rsidRPr="00196DB0" w:rsidRDefault="00A55C55" w:rsidP="00667E9E">
                  <w:pPr>
                    <w:jc w:val="center"/>
                    <w:rPr>
                      <w:color w:val="000000"/>
                    </w:rPr>
                  </w:pPr>
                  <w:r w:rsidRPr="00196DB0">
                    <w:rPr>
                      <w:rFonts w:hint="eastAsia"/>
                      <w:color w:val="000000"/>
                    </w:rPr>
                    <w:t>受理</w:t>
                  </w:r>
                </w:p>
              </w:txbxContent>
            </v:textbox>
          </v:rect>
        </w:pict>
      </w:r>
      <w:r>
        <w:rPr>
          <w:noProof/>
        </w:rPr>
        <w:pict>
          <v:rect id="矩形 5" o:spid="_x0000_s1031" style="position:absolute;left:0;text-align:left;margin-left:130.45pt;margin-top:281.55pt;width:87.05pt;height:36.45pt;z-index:4;visibility:visible;v-text-anchor:middle" filled="f" strokeweight="1pt">
            <v:textbox>
              <w:txbxContent>
                <w:p w:rsidR="00A55C55" w:rsidRPr="00196DB0" w:rsidRDefault="00A55C55" w:rsidP="00667E9E">
                  <w:pPr>
                    <w:jc w:val="center"/>
                    <w:rPr>
                      <w:color w:val="000000"/>
                    </w:rPr>
                  </w:pPr>
                  <w:r w:rsidRPr="00196DB0">
                    <w:rPr>
                      <w:rFonts w:hint="eastAsia"/>
                      <w:color w:val="000000"/>
                    </w:rPr>
                    <w:t>办证</w:t>
                  </w:r>
                </w:p>
                <w:p w:rsidR="00A55C55" w:rsidRPr="00196DB0" w:rsidRDefault="00A55C55" w:rsidP="00667E9E">
                  <w:pPr>
                    <w:jc w:val="center"/>
                    <w:rPr>
                      <w:color w:val="000000"/>
                    </w:rPr>
                  </w:pPr>
                  <w:r w:rsidRPr="00196DB0">
                    <w:rPr>
                      <w:color w:val="000000"/>
                    </w:rPr>
                    <w:t>(3</w:t>
                  </w:r>
                  <w:r w:rsidRPr="00196DB0">
                    <w:rPr>
                      <w:rFonts w:hint="eastAsia"/>
                      <w:color w:val="000000"/>
                    </w:rPr>
                    <w:t>个工作日</w:t>
                  </w:r>
                  <w:r w:rsidRPr="00196DB0">
                    <w:rPr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9" o:spid="_x0000_s1032" type="#_x0000_t32" style="position:absolute;left:0;text-align:left;margin-left:225.3pt;margin-top:28.8pt;width:26.75pt;height:0;flip:x;z-index:15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1" o:spid="_x0000_s1033" type="#_x0000_t32" style="position:absolute;left:0;text-align:left;margin-left:80.8pt;margin-top:28.8pt;width:40.8pt;height:0;z-index:16;visibility:visible" strokeweight=".5pt">
            <v:stroke endarrow="block" joinstyle="miter"/>
          </v:shape>
        </w:pict>
      </w:r>
    </w:p>
    <w:p w:rsidR="00A55C55" w:rsidRPr="008521A6" w:rsidRDefault="001D59E9" w:rsidP="00906FD0">
      <w:pPr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 id="直接箭头连接符 14" o:spid="_x0000_s1034" type="#_x0000_t32" style="position:absolute;left:0;text-align:left;margin-left:173.15pt;margin-top:17.3pt;width:.6pt;height:50.8pt;flip:x;z-index:6;visibility:visible" strokeweight=".5pt">
            <v:stroke endarrow="block" joinstyle="miter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连接符: 肘形 16" o:spid="_x0000_s1035" type="#_x0000_t34" style="position:absolute;left:0;text-align:left;margin-left:34.7pt;margin-top:18.15pt;width:79.95pt;height:70.3pt;flip:x y;z-index:8;visibility:visible" adj="21694" strokeweight=".5pt">
            <v:stroke endarrow="block"/>
          </v:shape>
        </w:pict>
      </w:r>
    </w:p>
    <w:p w:rsidR="00A55C55" w:rsidRDefault="001D59E9" w:rsidP="00906FD0">
      <w:pPr>
        <w:jc w:val="center"/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6" type="#_x0000_t202" style="position:absolute;left:0;text-align:left;margin-left:32.55pt;margin-top:12.9pt;width:42.35pt;height:24pt;z-index:9;visibility:visible;mso-wrap-distance-top:3.6pt;mso-wrap-distance-bottom:3.6pt" filled="f" stroked="f">
            <v:textbox>
              <w:txbxContent>
                <w:p w:rsidR="00A55C55" w:rsidRDefault="00A55C55" w:rsidP="000C3AA4">
                  <w:pPr>
                    <w:jc w:val="center"/>
                  </w:pPr>
                  <w:r>
                    <w:rPr>
                      <w:rFonts w:hint="eastAsia"/>
                    </w:rPr>
                    <w:t>不全</w:t>
                  </w:r>
                </w:p>
              </w:txbxContent>
            </v:textbox>
          </v:shape>
        </w:pict>
      </w:r>
    </w:p>
    <w:p w:rsidR="00A55C55" w:rsidRDefault="00A55C55" w:rsidP="00906FD0">
      <w:pPr>
        <w:jc w:val="center"/>
        <w:rPr>
          <w:rFonts w:ascii="宋体" w:eastAsia="宋体" w:hAnsi="宋体"/>
          <w:sz w:val="44"/>
          <w:szCs w:val="44"/>
        </w:rPr>
      </w:pPr>
    </w:p>
    <w:p w:rsidR="00A55C55" w:rsidRDefault="001D59E9" w:rsidP="00906FD0">
      <w:pPr>
        <w:jc w:val="center"/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 id="_x0000_s1037" type="#_x0000_t202" style="position:absolute;left:0;text-align:left;margin-left:172.85pt;margin-top:27.85pt;width:42.9pt;height:22pt;z-index:13;visibility:visible;mso-wrap-distance-top:3.6pt;mso-wrap-distance-bottom:3.6pt" filled="f" stroked="f">
            <v:textbox>
              <w:txbxContent>
                <w:p w:rsidR="00A55C55" w:rsidRDefault="00A55C55" w:rsidP="003731AD">
                  <w:pPr>
                    <w:jc w:val="left"/>
                  </w:pPr>
                  <w:r>
                    <w:rPr>
                      <w:rFonts w:hint="eastAsia"/>
                    </w:rPr>
                    <w:t>齐全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7" o:spid="_x0000_s1038" type="#_x0000_t32" style="position:absolute;left:0;text-align:left;margin-left:173.15pt;margin-top:17.15pt;width:.45pt;height:51.45pt;flip:x;z-index:10;visibility:visible" strokeweight=".5pt">
            <v:stroke endarrow="block" joinstyle="miter"/>
          </v:shape>
        </w:pict>
      </w:r>
    </w:p>
    <w:p w:rsidR="00A55C55" w:rsidRDefault="00A55C55" w:rsidP="00906FD0">
      <w:pPr>
        <w:jc w:val="center"/>
        <w:rPr>
          <w:rFonts w:ascii="宋体" w:eastAsia="宋体" w:hAnsi="宋体"/>
          <w:sz w:val="44"/>
          <w:szCs w:val="44"/>
        </w:rPr>
      </w:pPr>
    </w:p>
    <w:p w:rsidR="00A55C55" w:rsidRDefault="00A55C55" w:rsidP="00906FD0">
      <w:pPr>
        <w:jc w:val="center"/>
        <w:rPr>
          <w:rFonts w:ascii="宋体" w:eastAsia="宋体" w:hAnsi="宋体"/>
          <w:sz w:val="44"/>
          <w:szCs w:val="44"/>
        </w:rPr>
      </w:pPr>
    </w:p>
    <w:p w:rsidR="00A55C55" w:rsidRDefault="001D59E9" w:rsidP="00906FD0">
      <w:pPr>
        <w:jc w:val="center"/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 id="直接箭头连接符 18" o:spid="_x0000_s1039" type="#_x0000_t32" style="position:absolute;left:0;text-align:left;margin-left:173.15pt;margin-top:11.4pt;width:0;height:51.85pt;z-index:11;visibility:visible" strokeweight=".5pt">
            <v:stroke endarrow="block" joinstyle="miter"/>
          </v:shape>
        </w:pict>
      </w:r>
    </w:p>
    <w:p w:rsidR="00A55C55" w:rsidRDefault="00A55C55" w:rsidP="00906FD0">
      <w:pPr>
        <w:jc w:val="center"/>
        <w:rPr>
          <w:rFonts w:ascii="宋体" w:eastAsia="宋体" w:hAnsi="宋体"/>
          <w:sz w:val="44"/>
          <w:szCs w:val="44"/>
        </w:rPr>
      </w:pPr>
    </w:p>
    <w:p w:rsidR="00A55C55" w:rsidRDefault="00A55C55" w:rsidP="00906FD0">
      <w:pPr>
        <w:jc w:val="center"/>
        <w:rPr>
          <w:rFonts w:ascii="宋体" w:eastAsia="宋体" w:hAnsi="宋体"/>
          <w:sz w:val="44"/>
          <w:szCs w:val="44"/>
        </w:rPr>
      </w:pPr>
    </w:p>
    <w:p w:rsidR="00A55C55" w:rsidRDefault="001D59E9" w:rsidP="00906FD0">
      <w:pPr>
        <w:jc w:val="center"/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shape id="直接箭头连接符 21" o:spid="_x0000_s1040" type="#_x0000_t32" style="position:absolute;left:0;text-align:left;margin-left:173.15pt;margin-top:6.1pt;width:0;height:51.45pt;z-index:12;visibility:visible" strokeweight=".5pt">
            <v:stroke endarrow="block" joinstyle="miter"/>
          </v:shape>
        </w:pict>
      </w:r>
    </w:p>
    <w:p w:rsidR="00A55C55" w:rsidRDefault="001D59E9" w:rsidP="00906FD0">
      <w:pPr>
        <w:jc w:val="center"/>
        <w:rPr>
          <w:rFonts w:ascii="宋体" w:eastAsia="宋体" w:hAnsi="宋体"/>
          <w:sz w:val="44"/>
          <w:szCs w:val="44"/>
        </w:rPr>
      </w:pPr>
      <w:r>
        <w:rPr>
          <w:noProof/>
        </w:rPr>
        <w:pict>
          <v:roundrect id="矩形: 圆角 10" o:spid="_x0000_s1041" style="position:absolute;left:0;text-align:left;margin-left:121.9pt;margin-top:26.4pt;width:102.45pt;height:36.45pt;z-index:5;visibility:visible;v-text-anchor:middle" arcsize="10923f" filled="f" strokeweight="1pt">
            <v:stroke joinstyle="miter"/>
            <v:textbox>
              <w:txbxContent>
                <w:p w:rsidR="00A55C55" w:rsidRPr="00196DB0" w:rsidRDefault="00A55C55" w:rsidP="00667E9E">
                  <w:pPr>
                    <w:jc w:val="center"/>
                    <w:rPr>
                      <w:color w:val="000000"/>
                    </w:rPr>
                  </w:pPr>
                  <w:r w:rsidRPr="00196DB0">
                    <w:rPr>
                      <w:rFonts w:hint="eastAsia"/>
                      <w:color w:val="000000"/>
                    </w:rPr>
                    <w:t>办结</w:t>
                  </w:r>
                </w:p>
              </w:txbxContent>
            </v:textbox>
          </v:roundrect>
        </w:pict>
      </w:r>
    </w:p>
    <w:p w:rsidR="00A55C55" w:rsidRDefault="00A55C55" w:rsidP="00906FD0">
      <w:pPr>
        <w:jc w:val="center"/>
        <w:rPr>
          <w:rFonts w:ascii="宋体" w:eastAsia="宋体" w:hAnsi="宋体"/>
          <w:sz w:val="44"/>
          <w:szCs w:val="44"/>
        </w:rPr>
      </w:pPr>
    </w:p>
    <w:p w:rsidR="00A55C55" w:rsidRDefault="00A55C55" w:rsidP="00F31514">
      <w:pPr>
        <w:rPr>
          <w:rFonts w:ascii="宋体" w:eastAsia="宋体" w:hAnsi="宋体" w:hint="eastAsia"/>
          <w:sz w:val="44"/>
          <w:szCs w:val="44"/>
        </w:rPr>
      </w:pPr>
    </w:p>
    <w:sectPr w:rsidR="00A55C55" w:rsidSect="00F31514">
      <w:pgSz w:w="11906" w:h="16838" w:code="9"/>
      <w:pgMar w:top="1440" w:right="1800" w:bottom="1440" w:left="1800" w:header="851" w:footer="992" w:gutter="0"/>
      <w:cols w:space="136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E9" w:rsidRDefault="001D59E9" w:rsidP="00F31514">
      <w:r>
        <w:separator/>
      </w:r>
    </w:p>
  </w:endnote>
  <w:endnote w:type="continuationSeparator" w:id="0">
    <w:p w:rsidR="001D59E9" w:rsidRDefault="001D59E9" w:rsidP="00F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E9" w:rsidRDefault="001D59E9" w:rsidP="00F31514">
      <w:r>
        <w:separator/>
      </w:r>
    </w:p>
  </w:footnote>
  <w:footnote w:type="continuationSeparator" w:id="0">
    <w:p w:rsidR="001D59E9" w:rsidRDefault="001D59E9" w:rsidP="00F3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3777"/>
    <w:multiLevelType w:val="hybridMultilevel"/>
    <w:tmpl w:val="D98EC0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69E5431E"/>
    <w:multiLevelType w:val="hybridMultilevel"/>
    <w:tmpl w:val="E5F2282E"/>
    <w:lvl w:ilvl="0" w:tplc="0B341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C92"/>
    <w:rsid w:val="000078FC"/>
    <w:rsid w:val="0001157A"/>
    <w:rsid w:val="000C3AA4"/>
    <w:rsid w:val="001515B1"/>
    <w:rsid w:val="00170688"/>
    <w:rsid w:val="00191405"/>
    <w:rsid w:val="00196DB0"/>
    <w:rsid w:val="001D59E9"/>
    <w:rsid w:val="00210B4B"/>
    <w:rsid w:val="002F4B08"/>
    <w:rsid w:val="00310972"/>
    <w:rsid w:val="0032242F"/>
    <w:rsid w:val="003343C0"/>
    <w:rsid w:val="003731AD"/>
    <w:rsid w:val="003C07A6"/>
    <w:rsid w:val="003C1BAE"/>
    <w:rsid w:val="003F24E0"/>
    <w:rsid w:val="005227BA"/>
    <w:rsid w:val="00560AFD"/>
    <w:rsid w:val="00566824"/>
    <w:rsid w:val="00571172"/>
    <w:rsid w:val="00597A46"/>
    <w:rsid w:val="005F28F5"/>
    <w:rsid w:val="00667E9E"/>
    <w:rsid w:val="00741307"/>
    <w:rsid w:val="00827C92"/>
    <w:rsid w:val="008521A6"/>
    <w:rsid w:val="00854C88"/>
    <w:rsid w:val="00884CB3"/>
    <w:rsid w:val="0089503F"/>
    <w:rsid w:val="00906FD0"/>
    <w:rsid w:val="00965389"/>
    <w:rsid w:val="00A36B30"/>
    <w:rsid w:val="00A44CCB"/>
    <w:rsid w:val="00A55C55"/>
    <w:rsid w:val="00A6705D"/>
    <w:rsid w:val="00A87D42"/>
    <w:rsid w:val="00AF329D"/>
    <w:rsid w:val="00B013A8"/>
    <w:rsid w:val="00B12C6B"/>
    <w:rsid w:val="00B26311"/>
    <w:rsid w:val="00B32D28"/>
    <w:rsid w:val="00B67B82"/>
    <w:rsid w:val="00C34358"/>
    <w:rsid w:val="00C51FA7"/>
    <w:rsid w:val="00CA1948"/>
    <w:rsid w:val="00D47FD0"/>
    <w:rsid w:val="00D85B71"/>
    <w:rsid w:val="00DE5C91"/>
    <w:rsid w:val="00DF4A6F"/>
    <w:rsid w:val="00E81AEF"/>
    <w:rsid w:val="00F06307"/>
    <w:rsid w:val="00F31514"/>
    <w:rsid w:val="00F34477"/>
    <w:rsid w:val="00F40D64"/>
    <w:rsid w:val="00F463FF"/>
    <w:rsid w:val="00F51EF3"/>
    <w:rsid w:val="00F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接箭头连接符 29"/>
        <o:r id="V:Rule2" type="connector" idref="#直接箭头连接符 1"/>
        <o:r id="V:Rule3" type="connector" idref="#直接箭头连接符 14"/>
        <o:r id="V:Rule4" type="connector" idref="#连接符: 肘形 16"/>
        <o:r id="V:Rule5" type="connector" idref="#直接箭头连接符 17"/>
        <o:r id="V:Rule6" type="connector" idref="#直接箭头连接符 18"/>
        <o:r id="V:Rule7" type="connector" idref="#直接箭头连接符 21"/>
      </o:rules>
    </o:shapelayout>
  </w:shapeDefaults>
  <w:decimalSymbol w:val="."/>
  <w:listSeparator w:val=","/>
  <w14:docId w14:val="09265C9D"/>
  <w15:docId w15:val="{86AADA78-D1A6-4891-9B84-587D6492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29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F315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F31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 史</dc:creator>
  <cp:keywords/>
  <dc:description/>
  <cp:lastModifiedBy>史 鑫</cp:lastModifiedBy>
  <cp:revision>45</cp:revision>
  <dcterms:created xsi:type="dcterms:W3CDTF">2019-09-11T07:57:00Z</dcterms:created>
  <dcterms:modified xsi:type="dcterms:W3CDTF">2020-09-14T02:03:00Z</dcterms:modified>
</cp:coreProperties>
</file>