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7C" w:rsidRDefault="0058359D" w:rsidP="003F58F5">
      <w:pPr>
        <w:jc w:val="center"/>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Pr>
          <w:rFonts w:ascii="宋体" w:eastAsia="宋体" w:hAnsi="宋体" w:hint="eastAsia"/>
          <w:b/>
          <w:bCs/>
          <w:sz w:val="40"/>
          <w:szCs w:val="40"/>
        </w:rPr>
        <w:t>对机关事业单位离退休人员养老保险领取的资格认证</w:t>
      </w:r>
      <w:r w:rsidR="003F58F5">
        <w:rPr>
          <w:rFonts w:ascii="宋体" w:eastAsia="宋体" w:hAnsi="宋体" w:hint="eastAsia"/>
          <w:b/>
          <w:bCs/>
          <w:sz w:val="40"/>
          <w:szCs w:val="40"/>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3F58F5" w:rsidRPr="003F58F5" w:rsidRDefault="003F58F5" w:rsidP="003F58F5">
            <w:pPr>
              <w:widowControl/>
              <w:jc w:val="center"/>
              <w:rPr>
                <w:rFonts w:ascii="黑体" w:eastAsia="黑体" w:hAnsi="黑体" w:cs="宋体"/>
                <w:color w:val="000000"/>
                <w:kern w:val="0"/>
                <w:sz w:val="28"/>
                <w:szCs w:val="28"/>
              </w:rPr>
            </w:pPr>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社会保险服务</w:t>
            </w:r>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机关事业单位退休人员</w:t>
            </w:r>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【规范性文件】劳动和社会保障部办公厅《关于进一步规范基本养老金社会化发放工作的通知》（</w:t>
            </w:r>
            <w:proofErr w:type="gramStart"/>
            <w:r w:rsidRPr="003F58F5">
              <w:rPr>
                <w:rFonts w:ascii="仿宋" w:eastAsia="仿宋" w:hAnsi="仿宋" w:cs="宋体" w:hint="eastAsia"/>
                <w:color w:val="000000"/>
                <w:kern w:val="0"/>
                <w:sz w:val="24"/>
                <w:szCs w:val="24"/>
              </w:rPr>
              <w:t>劳社厅</w:t>
            </w:r>
            <w:proofErr w:type="gramEnd"/>
            <w:r w:rsidRPr="003F58F5">
              <w:rPr>
                <w:rFonts w:ascii="仿宋" w:eastAsia="仿宋" w:hAnsi="仿宋" w:cs="宋体" w:hint="eastAsia"/>
                <w:color w:val="000000"/>
                <w:kern w:val="0"/>
                <w:sz w:val="24"/>
                <w:szCs w:val="24"/>
              </w:rPr>
              <w:t>发[2001]8号）第六条 各级社会保险经办机构应当定期对参加基本养老保险的离退休人员领取基本养老金的资格进行核查。                           【规范性文件】山西省劳动和社会保障厅《转发劳动和社会保障部〈关于进一步规范基本养老金社会化发放工作的通知〉的通知》（晋</w:t>
            </w:r>
            <w:proofErr w:type="gramStart"/>
            <w:r w:rsidRPr="003F58F5">
              <w:rPr>
                <w:rFonts w:ascii="仿宋" w:eastAsia="仿宋" w:hAnsi="仿宋" w:cs="宋体" w:hint="eastAsia"/>
                <w:color w:val="000000"/>
                <w:kern w:val="0"/>
                <w:sz w:val="24"/>
                <w:szCs w:val="24"/>
              </w:rPr>
              <w:t>劳社养[</w:t>
            </w:r>
            <w:proofErr w:type="gramEnd"/>
            <w:r w:rsidRPr="003F58F5">
              <w:rPr>
                <w:rFonts w:ascii="仿宋" w:eastAsia="仿宋" w:hAnsi="仿宋" w:cs="宋体" w:hint="eastAsia"/>
                <w:color w:val="000000"/>
                <w:kern w:val="0"/>
                <w:sz w:val="24"/>
                <w:szCs w:val="24"/>
              </w:rPr>
              <w:t>2002]73号）第二条 各级养老保险经办机构应于每年3月份对参加基本养老保险的离退休人员领取基本养老金的资格进行核查。</w:t>
            </w:r>
          </w:p>
        </w:tc>
      </w:tr>
      <w:tr w:rsidR="0058359D" w:rsidRPr="003F58F5" w:rsidTr="003F58F5">
        <w:trPr>
          <w:trHeight w:val="1052"/>
        </w:trPr>
        <w:tc>
          <w:tcPr>
            <w:tcW w:w="1394" w:type="pct"/>
            <w:shd w:val="clear" w:color="auto" w:fill="auto"/>
            <w:noWrap/>
            <w:vAlign w:val="center"/>
          </w:tcPr>
          <w:p w:rsidR="0058359D"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58359D" w:rsidRPr="003F58F5" w:rsidRDefault="0058359D" w:rsidP="003F58F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达到法定退休年龄且累计缴纳养老保险费满1</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年。</w:t>
            </w:r>
          </w:p>
        </w:tc>
      </w:tr>
      <w:tr w:rsidR="003F58F5" w:rsidRPr="003F58F5" w:rsidTr="003F58F5">
        <w:trPr>
          <w:trHeight w:val="105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003F58F5">
              <w:rPr>
                <w:rFonts w:ascii="仿宋" w:eastAsia="仿宋" w:hAnsi="仿宋" w:cs="宋体" w:hint="eastAsia"/>
                <w:color w:val="000000"/>
                <w:kern w:val="0"/>
                <w:sz w:val="24"/>
                <w:szCs w:val="24"/>
              </w:rPr>
              <w:t>、</w:t>
            </w:r>
            <w:r w:rsidR="003F58F5"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本人身份证或社保卡</w:t>
            </w:r>
          </w:p>
        </w:tc>
      </w:tr>
      <w:tr w:rsidR="003F58F5" w:rsidRPr="003F58F5" w:rsidTr="003F58F5">
        <w:trPr>
          <w:trHeight w:val="968"/>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003F58F5">
              <w:rPr>
                <w:rFonts w:ascii="仿宋" w:eastAsia="仿宋" w:hAnsi="仿宋" w:cs="宋体" w:hint="eastAsia"/>
                <w:color w:val="000000"/>
                <w:kern w:val="0"/>
                <w:sz w:val="24"/>
                <w:szCs w:val="24"/>
              </w:rPr>
              <w:t>、</w:t>
            </w:r>
            <w:r w:rsidR="003F58F5"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民生山西APP或现场认证</w:t>
            </w:r>
          </w:p>
        </w:tc>
      </w:tr>
      <w:tr w:rsidR="003F58F5" w:rsidRPr="003F58F5" w:rsidTr="003F58F5">
        <w:trPr>
          <w:trHeight w:val="94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w:t>
            </w:r>
            <w:r w:rsidR="003F58F5">
              <w:rPr>
                <w:rFonts w:ascii="仿宋" w:eastAsia="仿宋" w:hAnsi="仿宋" w:cs="宋体" w:hint="eastAsia"/>
                <w:color w:val="000000"/>
                <w:kern w:val="0"/>
                <w:sz w:val="24"/>
                <w:szCs w:val="24"/>
              </w:rPr>
              <w:t>、办理流程</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3F58F5" w:rsidRPr="003F58F5" w:rsidTr="003F58F5">
        <w:trPr>
          <w:trHeight w:val="94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003F58F5"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w:t>
            </w:r>
            <w:r w:rsidR="009519E9">
              <w:rPr>
                <w:rFonts w:ascii="仿宋" w:eastAsia="仿宋" w:hAnsi="仿宋" w:cs="宋体" w:hint="eastAsia"/>
                <w:color w:val="000000"/>
                <w:kern w:val="0"/>
                <w:sz w:val="24"/>
                <w:szCs w:val="24"/>
              </w:rPr>
              <w:t>结</w:t>
            </w:r>
            <w:bookmarkStart w:id="0" w:name="_GoBack"/>
            <w:bookmarkEnd w:id="0"/>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lastRenderedPageBreak/>
              <w:t>十</w:t>
            </w:r>
            <w:r w:rsidR="0058359D">
              <w:rPr>
                <w:rFonts w:ascii="仿宋" w:eastAsia="仿宋" w:hAnsi="仿宋" w:cs="宋体" w:hint="eastAsia"/>
                <w:color w:val="000000"/>
                <w:kern w:val="0"/>
                <w:sz w:val="24"/>
                <w:szCs w:val="24"/>
              </w:rPr>
              <w:t>一</w:t>
            </w:r>
            <w:r>
              <w:rPr>
                <w:rFonts w:ascii="仿宋" w:eastAsia="仿宋" w:hAnsi="仿宋" w:cs="宋体" w:hint="eastAsia"/>
                <w:color w:val="000000"/>
                <w:kern w:val="0"/>
                <w:sz w:val="24"/>
                <w:szCs w:val="24"/>
              </w:rPr>
              <w:t>、</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3F58F5" w:rsidRPr="003F58F5" w:rsidTr="003F58F5">
        <w:trPr>
          <w:trHeight w:val="942"/>
        </w:trPr>
        <w:tc>
          <w:tcPr>
            <w:tcW w:w="1394" w:type="pct"/>
            <w:shd w:val="clear" w:color="auto" w:fill="auto"/>
            <w:noWrap/>
            <w:vAlign w:val="center"/>
            <w:hideMark/>
          </w:tcPr>
          <w:p w:rsidR="003F58F5" w:rsidRPr="003F58F5" w:rsidRDefault="003F58F5"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0058359D">
              <w:rPr>
                <w:rFonts w:ascii="仿宋" w:eastAsia="仿宋" w:hAnsi="仿宋" w:cs="宋体" w:hint="eastAsia"/>
                <w:color w:val="000000"/>
                <w:kern w:val="0"/>
                <w:sz w:val="24"/>
                <w:szCs w:val="24"/>
              </w:rPr>
              <w:t>二、结果送达</w:t>
            </w:r>
          </w:p>
        </w:tc>
        <w:tc>
          <w:tcPr>
            <w:tcW w:w="3606" w:type="pct"/>
            <w:shd w:val="clear" w:color="auto" w:fill="auto"/>
            <w:vAlign w:val="center"/>
            <w:hideMark/>
          </w:tcPr>
          <w:p w:rsidR="003F58F5" w:rsidRPr="003F58F5" w:rsidRDefault="0058359D" w:rsidP="003F58F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3F58F5" w:rsidRPr="003F58F5" w:rsidTr="003F58F5">
        <w:trPr>
          <w:trHeight w:val="942"/>
        </w:trPr>
        <w:tc>
          <w:tcPr>
            <w:tcW w:w="1394" w:type="pct"/>
            <w:shd w:val="clear" w:color="auto" w:fill="auto"/>
            <w:noWrap/>
            <w:vAlign w:val="center"/>
            <w:hideMark/>
          </w:tcPr>
          <w:p w:rsidR="0058359D"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3F58F5" w:rsidRPr="003F58F5" w:rsidRDefault="0058359D" w:rsidP="003F58F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3F58F5" w:rsidRPr="003F58F5" w:rsidTr="003F58F5">
        <w:trPr>
          <w:trHeight w:val="94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003F58F5"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58359D"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现场：阳城县政务中心四</w:t>
            </w:r>
            <w:proofErr w:type="gramStart"/>
            <w:r w:rsidRPr="003F58F5">
              <w:rPr>
                <w:rFonts w:ascii="仿宋" w:eastAsia="仿宋" w:hAnsi="仿宋" w:cs="宋体" w:hint="eastAsia"/>
                <w:color w:val="000000"/>
                <w:kern w:val="0"/>
                <w:sz w:val="24"/>
                <w:szCs w:val="24"/>
              </w:rPr>
              <w:t>楼机关</w:t>
            </w:r>
            <w:proofErr w:type="gramEnd"/>
            <w:r w:rsidRPr="003F58F5">
              <w:rPr>
                <w:rFonts w:ascii="仿宋" w:eastAsia="仿宋" w:hAnsi="仿宋" w:cs="宋体" w:hint="eastAsia"/>
                <w:color w:val="000000"/>
                <w:kern w:val="0"/>
                <w:sz w:val="24"/>
                <w:szCs w:val="24"/>
              </w:rPr>
              <w:t>事业社会保险所窗口</w:t>
            </w:r>
          </w:p>
          <w:p w:rsidR="003F58F5" w:rsidRPr="003F58F5" w:rsidRDefault="003F58F5" w:rsidP="003F58F5">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电话：0356-4239375</w:t>
            </w:r>
          </w:p>
        </w:tc>
      </w:tr>
      <w:tr w:rsidR="003F58F5" w:rsidRPr="003F58F5" w:rsidTr="003F58F5">
        <w:trPr>
          <w:trHeight w:val="94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003F58F5"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3F58F5" w:rsidRPr="003F58F5" w:rsidRDefault="003F58F5" w:rsidP="003F58F5">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3F58F5" w:rsidRPr="003F58F5" w:rsidTr="003F58F5">
        <w:trPr>
          <w:trHeight w:val="942"/>
        </w:trPr>
        <w:tc>
          <w:tcPr>
            <w:tcW w:w="1394" w:type="pct"/>
            <w:shd w:val="clear" w:color="auto" w:fill="auto"/>
            <w:noWrap/>
            <w:vAlign w:val="center"/>
            <w:hideMark/>
          </w:tcPr>
          <w:p w:rsidR="003F58F5" w:rsidRPr="003F58F5" w:rsidRDefault="0058359D" w:rsidP="003F58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58359D" w:rsidRDefault="0058359D" w:rsidP="0058359D">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现场：阳城县政务中心四</w:t>
            </w:r>
            <w:proofErr w:type="gramStart"/>
            <w:r w:rsidRPr="003F58F5">
              <w:rPr>
                <w:rFonts w:ascii="仿宋" w:eastAsia="仿宋" w:hAnsi="仿宋" w:cs="宋体" w:hint="eastAsia"/>
                <w:color w:val="000000"/>
                <w:kern w:val="0"/>
                <w:sz w:val="24"/>
                <w:szCs w:val="24"/>
              </w:rPr>
              <w:t>楼机关</w:t>
            </w:r>
            <w:proofErr w:type="gramEnd"/>
            <w:r w:rsidRPr="003F58F5">
              <w:rPr>
                <w:rFonts w:ascii="仿宋" w:eastAsia="仿宋" w:hAnsi="仿宋" w:cs="宋体" w:hint="eastAsia"/>
                <w:color w:val="000000"/>
                <w:kern w:val="0"/>
                <w:sz w:val="24"/>
                <w:szCs w:val="24"/>
              </w:rPr>
              <w:t>事业社会保险所窗口</w:t>
            </w:r>
          </w:p>
          <w:p w:rsidR="003F58F5" w:rsidRPr="003F58F5" w:rsidRDefault="0058359D" w:rsidP="0058359D">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电话：0356-4239375</w:t>
            </w:r>
          </w:p>
        </w:tc>
      </w:tr>
    </w:tbl>
    <w:p w:rsidR="003F58F5" w:rsidRPr="003F58F5" w:rsidRDefault="003F58F5" w:rsidP="003F58F5">
      <w:pPr>
        <w:jc w:val="left"/>
        <w:rPr>
          <w:rFonts w:ascii="仿宋" w:eastAsia="仿宋" w:hAnsi="仿宋"/>
          <w:b/>
          <w:bCs/>
          <w:sz w:val="32"/>
          <w:szCs w:val="32"/>
        </w:rPr>
      </w:pPr>
      <w:r w:rsidRPr="003F58F5">
        <w:rPr>
          <w:rFonts w:ascii="仿宋" w:eastAsia="仿宋" w:hAnsi="仿宋" w:hint="eastAsia"/>
          <w:b/>
          <w:bCs/>
          <w:sz w:val="32"/>
          <w:szCs w:val="32"/>
        </w:rPr>
        <w:t>十七、办理流程图</w:t>
      </w:r>
    </w:p>
    <w:p w:rsidR="00716C7C" w:rsidRDefault="00B82BF5">
      <w:pPr>
        <w:jc w:val="center"/>
        <w:rPr>
          <w:rFonts w:ascii="宋体" w:eastAsia="宋体" w:hAnsi="宋体"/>
          <w:b/>
          <w:bCs/>
          <w:sz w:val="44"/>
          <w:szCs w:val="44"/>
        </w:rPr>
      </w:pPr>
      <w:r>
        <w:pict>
          <v:roundrect id="矩形: 圆角 2" o:spid="_x0000_s1026" style="position:absolute;left:0;text-align:left;margin-left:163.95pt;margin-top:3.9pt;width:102.45pt;height:42.9pt;z-index:1;mso-position-horizontal-relative:margin;mso-width-relative:page;mso-height-relative:page;v-text-anchor:middle" arcsize="10923f" filled="f" strokeweight="1pt">
            <v:stroke joinstyle="miter"/>
            <v:textbox>
              <w:txbxContent>
                <w:p w:rsidR="00716C7C" w:rsidRDefault="0058359D">
                  <w:pPr>
                    <w:jc w:val="center"/>
                    <w:rPr>
                      <w:color w:val="000000"/>
                    </w:rPr>
                  </w:pPr>
                  <w:r>
                    <w:rPr>
                      <w:rFonts w:hint="eastAsia"/>
                      <w:color w:val="000000"/>
                    </w:rPr>
                    <w:t>安装下载</w:t>
                  </w:r>
                </w:p>
                <w:p w:rsidR="00716C7C" w:rsidRDefault="0058359D">
                  <w:pPr>
                    <w:jc w:val="center"/>
                    <w:rPr>
                      <w:color w:val="000000"/>
                    </w:rPr>
                  </w:pPr>
                  <w:r>
                    <w:rPr>
                      <w:rFonts w:hint="eastAsia"/>
                      <w:color w:val="000000"/>
                    </w:rPr>
                    <w:t>“民生山西”</w:t>
                  </w:r>
                  <w:r>
                    <w:rPr>
                      <w:color w:val="000000"/>
                    </w:rPr>
                    <w:t>app</w:t>
                  </w:r>
                </w:p>
              </w:txbxContent>
            </v:textbox>
            <w10:wrap anchorx="margin"/>
          </v:roundrect>
        </w:pict>
      </w:r>
      <w:r>
        <w:pict>
          <v:rect id="矩形 28" o:spid="_x0000_s1027" style="position:absolute;left:0;text-align:left;margin-left:293.15pt;margin-top:11.25pt;width:105.05pt;height:230.55pt;z-index:9;mso-width-relative:page;mso-height-relative:page;v-text-anchor:middle" filled="f" strokeweight="1pt">
            <v:textbox>
              <w:txbxContent>
                <w:p w:rsidR="00716C7C" w:rsidRDefault="0058359D">
                  <w:pPr>
                    <w:rPr>
                      <w:rFonts w:ascii="仿宋_GB2312" w:eastAsia="仿宋_GB2312" w:hAnsi="仿宋_GB2312" w:cs="仿宋_GB2312"/>
                      <w:b/>
                      <w:bCs/>
                      <w:szCs w:val="21"/>
                    </w:rPr>
                  </w:pPr>
                  <w:r>
                    <w:rPr>
                      <w:rFonts w:ascii="仿宋_GB2312" w:eastAsia="仿宋_GB2312" w:hAnsi="仿宋_GB2312" w:cs="仿宋_GB2312" w:hint="eastAsia"/>
                      <w:b/>
                      <w:bCs/>
                      <w:szCs w:val="21"/>
                    </w:rPr>
                    <w:t>申请条件：</w:t>
                  </w:r>
                </w:p>
                <w:p w:rsidR="00716C7C" w:rsidRDefault="0058359D">
                  <w:pPr>
                    <w:rPr>
                      <w:rFonts w:ascii="仿宋_GB2312" w:eastAsia="仿宋_GB2312" w:hAnsi="仿宋_GB2312" w:cs="仿宋_GB2312"/>
                      <w:szCs w:val="21"/>
                    </w:rPr>
                  </w:pPr>
                  <w:r>
                    <w:rPr>
                      <w:rFonts w:ascii="仿宋_GB2312" w:eastAsia="仿宋_GB2312" w:hAnsi="仿宋_GB2312" w:cs="仿宋_GB2312" w:hint="eastAsia"/>
                      <w:szCs w:val="21"/>
                    </w:rPr>
                    <w:t>对按月领取养老金的离退休（职）人员和按月领取供养直系亲属生活补助费人员每年进行领取资格认证，向享受待遇人员发放资格认证通知，规定认证时间和方式，下载“民生山西”进行资格认证。</w:t>
                  </w:r>
                </w:p>
                <w:p w:rsidR="00716C7C" w:rsidRDefault="0058359D">
                  <w:pPr>
                    <w:rPr>
                      <w:rFonts w:ascii="仿宋_GB2312" w:eastAsia="仿宋_GB2312" w:hAnsi="仿宋_GB2312" w:cs="仿宋_GB2312"/>
                      <w:b/>
                      <w:bCs/>
                      <w:szCs w:val="21"/>
                    </w:rPr>
                  </w:pPr>
                  <w:r>
                    <w:rPr>
                      <w:rFonts w:ascii="仿宋_GB2312" w:eastAsia="仿宋_GB2312" w:hAnsi="仿宋_GB2312" w:cs="仿宋_GB2312" w:hint="eastAsia"/>
                      <w:b/>
                      <w:bCs/>
                      <w:szCs w:val="21"/>
                    </w:rPr>
                    <w:t>申报材料：</w:t>
                  </w:r>
                </w:p>
                <w:p w:rsidR="00716C7C" w:rsidRDefault="0058359D">
                  <w:pPr>
                    <w:rPr>
                      <w:rFonts w:eastAsia="宋体"/>
                    </w:rPr>
                  </w:pPr>
                  <w:r>
                    <w:rPr>
                      <w:rFonts w:hint="eastAsia"/>
                    </w:rPr>
                    <w:t>身份证、社会保障卡</w:t>
                  </w:r>
                </w:p>
                <w:p w:rsidR="00716C7C" w:rsidRDefault="00716C7C">
                  <w:pPr>
                    <w:rPr>
                      <w:szCs w:val="18"/>
                    </w:rPr>
                  </w:pPr>
                </w:p>
              </w:txbxContent>
            </v:textbox>
          </v:rect>
        </w:pict>
      </w:r>
      <w:r>
        <w:pict>
          <v:shapetype id="_x0000_t32" coordsize="21600,21600" o:spt="32" o:oned="t" path="m,l21600,21600e" filled="f">
            <v:path arrowok="t" fillok="f" o:connecttype="none"/>
            <o:lock v:ext="edit" shapetype="t"/>
          </v:shapetype>
          <v:shape id="直接箭头连接符 29" o:spid="_x0000_s1028" type="#_x0000_t32" style="position:absolute;left:0;text-align:left;margin-left:266.45pt;margin-top:28.8pt;width:26.75pt;height:0;flip:x;z-index:10;mso-width-relative:page;mso-height-relative:page" strokeweight=".5pt">
            <v:stroke endarrow="block" joinstyle="miter"/>
          </v:shape>
        </w:pict>
      </w:r>
      <w:r>
        <w:pict>
          <v:rect id="_x0000_s1029" style="position:absolute;left:0;text-align:left;margin-left:171.6pt;margin-top:190.4pt;width:87.05pt;height:36.45pt;z-index:3;mso-width-relative:page;mso-height-relative:page;v-text-anchor:middle" filled="f" strokeweight="1pt">
            <v:textbox>
              <w:txbxContent>
                <w:p w:rsidR="00716C7C" w:rsidRDefault="0058359D">
                  <w:pPr>
                    <w:jc w:val="center"/>
                    <w:rPr>
                      <w:color w:val="000000"/>
                    </w:rPr>
                  </w:pPr>
                  <w:r>
                    <w:rPr>
                      <w:rFonts w:hint="eastAsia"/>
                      <w:color w:val="000000"/>
                    </w:rPr>
                    <w:t>验证</w:t>
                  </w:r>
                </w:p>
                <w:p w:rsidR="00716C7C" w:rsidRDefault="0058359D">
                  <w:pPr>
                    <w:jc w:val="center"/>
                    <w:rPr>
                      <w:color w:val="000000"/>
                    </w:rPr>
                  </w:pPr>
                  <w:r>
                    <w:rPr>
                      <w:rFonts w:hint="eastAsia"/>
                      <w:color w:val="000000"/>
                    </w:rPr>
                    <w:t>通过</w:t>
                  </w:r>
                </w:p>
              </w:txbxContent>
            </v:textbox>
          </v:rect>
        </w:pict>
      </w:r>
      <w:r>
        <w:pict>
          <v:rect id="矩形 4" o:spid="_x0000_s1030" style="position:absolute;left:0;text-align:left;margin-left:171.75pt;margin-top:133.2pt;width:87.05pt;height:36.45pt;z-index:2;mso-width-relative:page;mso-height-relative:page;v-text-anchor:middle" filled="f" strokeweight="1pt">
            <v:textbox>
              <w:txbxContent>
                <w:p w:rsidR="00716C7C" w:rsidRDefault="0058359D">
                  <w:pPr>
                    <w:jc w:val="center"/>
                    <w:rPr>
                      <w:color w:val="000000"/>
                    </w:rPr>
                  </w:pPr>
                  <w:r>
                    <w:rPr>
                      <w:rFonts w:hint="eastAsia"/>
                      <w:color w:val="000000"/>
                    </w:rPr>
                    <w:t>资格</w:t>
                  </w:r>
                </w:p>
                <w:p w:rsidR="00716C7C" w:rsidRDefault="0058359D">
                  <w:pPr>
                    <w:jc w:val="center"/>
                    <w:rPr>
                      <w:color w:val="000000"/>
                    </w:rPr>
                  </w:pPr>
                  <w:r>
                    <w:rPr>
                      <w:rFonts w:hint="eastAsia"/>
                      <w:color w:val="000000"/>
                    </w:rPr>
                    <w:t>认证</w:t>
                  </w:r>
                </w:p>
              </w:txbxContent>
            </v:textbox>
          </v:rect>
        </w:pict>
      </w:r>
      <w:r>
        <w:pict>
          <v:shape id="直接箭头连接符 19" o:spid="_x0000_s1031" type="#_x0000_t32" style="position:absolute;left:0;text-align:left;margin-left:214.8pt;margin-top:227.05pt;width:0;height:21.05pt;z-index:8;mso-width-relative:page;mso-height-relative:page" strokeweight=".5pt">
            <v:stroke endarrow="block" joinstyle="miter"/>
          </v:shape>
        </w:pict>
      </w:r>
      <w:r>
        <w:pict>
          <v:shape id="直接箭头连接符 18" o:spid="_x0000_s1032" type="#_x0000_t32" style="position:absolute;left:0;text-align:left;margin-left:3in;margin-top:169.85pt;width:0;height:21.05pt;z-index:7;mso-width-relative:page;mso-height-relative:page" strokeweight=".5pt">
            <v:stroke endarrow="block" joinstyle="miter"/>
          </v:shape>
        </w:pict>
      </w:r>
      <w:r>
        <w:pict>
          <v:shape id="直接箭头连接符 17" o:spid="_x0000_s1033" type="#_x0000_t32" style="position:absolute;left:0;text-align:left;margin-left:215.2pt;margin-top:112.8pt;width:0;height:21.05pt;z-index:6;mso-width-relative:page;mso-height-relative:page" strokeweight=".5pt">
            <v:stroke endarrow="block" joinstyle="miter"/>
          </v:shape>
        </w:pict>
      </w:r>
      <w:r>
        <w:pict>
          <v:shape id="直接箭头连接符 14" o:spid="_x0000_s1034" type="#_x0000_t32" style="position:absolute;left:0;text-align:left;margin-left:214.8pt;margin-top:48.45pt;width:0;height:21.05pt;z-index:5;mso-width-relative:page;mso-height-relative:page" strokeweight=".5pt">
            <v:stroke endarrow="block" joinstyle="miter"/>
          </v:shape>
        </w:pict>
      </w:r>
    </w:p>
    <w:p w:rsidR="00716C7C" w:rsidRDefault="00716C7C">
      <w:pPr>
        <w:rPr>
          <w:rFonts w:ascii="宋体" w:eastAsia="宋体" w:hAnsi="宋体"/>
          <w:sz w:val="44"/>
          <w:szCs w:val="44"/>
        </w:rPr>
      </w:pPr>
    </w:p>
    <w:p w:rsidR="00716C7C" w:rsidRDefault="00B82BF5">
      <w:pPr>
        <w:jc w:val="center"/>
        <w:rPr>
          <w:rFonts w:ascii="宋体" w:eastAsia="宋体" w:hAnsi="宋体"/>
          <w:sz w:val="44"/>
          <w:szCs w:val="44"/>
        </w:rPr>
      </w:pPr>
      <w:r>
        <w:pict>
          <v:rect id="_x0000_s1035" style="position:absolute;left:0;text-align:left;margin-left:170.2pt;margin-top:7.8pt;width:87.05pt;height:36.45pt;z-index:11;mso-width-relative:page;mso-height-relative:page;v-text-anchor:middle" filled="f" strokeweight="1pt">
            <v:textbox>
              <w:txbxContent>
                <w:p w:rsidR="00716C7C" w:rsidRDefault="0058359D">
                  <w:pPr>
                    <w:jc w:val="center"/>
                    <w:rPr>
                      <w:color w:val="000000"/>
                    </w:rPr>
                  </w:pPr>
                  <w:r>
                    <w:rPr>
                      <w:rFonts w:hint="eastAsia"/>
                      <w:color w:val="000000"/>
                    </w:rPr>
                    <w:t>新用户</w:t>
                  </w:r>
                </w:p>
                <w:p w:rsidR="00716C7C" w:rsidRDefault="0058359D">
                  <w:pPr>
                    <w:jc w:val="center"/>
                    <w:rPr>
                      <w:color w:val="000000"/>
                    </w:rPr>
                  </w:pPr>
                  <w:r>
                    <w:rPr>
                      <w:rFonts w:hint="eastAsia"/>
                      <w:color w:val="000000"/>
                    </w:rPr>
                    <w:t>注册</w:t>
                  </w:r>
                </w:p>
              </w:txbxContent>
            </v:textbox>
          </v:rect>
        </w:pict>
      </w:r>
    </w:p>
    <w:p w:rsidR="00716C7C" w:rsidRDefault="00716C7C">
      <w:pPr>
        <w:jc w:val="center"/>
        <w:rPr>
          <w:rFonts w:ascii="宋体" w:eastAsia="宋体" w:hAnsi="宋体"/>
          <w:sz w:val="44"/>
          <w:szCs w:val="44"/>
        </w:rPr>
      </w:pPr>
    </w:p>
    <w:p w:rsidR="00716C7C" w:rsidRDefault="00716C7C">
      <w:pPr>
        <w:jc w:val="center"/>
        <w:rPr>
          <w:rFonts w:ascii="宋体" w:eastAsia="宋体" w:hAnsi="宋体"/>
          <w:sz w:val="44"/>
          <w:szCs w:val="44"/>
        </w:rPr>
      </w:pPr>
    </w:p>
    <w:p w:rsidR="00716C7C" w:rsidRDefault="00716C7C">
      <w:pPr>
        <w:jc w:val="center"/>
        <w:rPr>
          <w:rFonts w:ascii="宋体" w:eastAsia="宋体" w:hAnsi="宋体"/>
          <w:sz w:val="44"/>
          <w:szCs w:val="44"/>
        </w:rPr>
      </w:pPr>
    </w:p>
    <w:p w:rsidR="00716C7C" w:rsidRDefault="00716C7C">
      <w:pPr>
        <w:jc w:val="center"/>
        <w:rPr>
          <w:rFonts w:ascii="宋体" w:eastAsia="宋体" w:hAnsi="宋体"/>
          <w:sz w:val="44"/>
          <w:szCs w:val="44"/>
        </w:rPr>
      </w:pPr>
    </w:p>
    <w:p w:rsidR="00716C7C" w:rsidRDefault="00716C7C">
      <w:pPr>
        <w:jc w:val="center"/>
        <w:rPr>
          <w:rFonts w:ascii="宋体" w:eastAsia="宋体" w:hAnsi="宋体"/>
          <w:sz w:val="44"/>
          <w:szCs w:val="44"/>
        </w:rPr>
      </w:pPr>
    </w:p>
    <w:p w:rsidR="00716C7C" w:rsidRDefault="00B82BF5">
      <w:pPr>
        <w:jc w:val="center"/>
        <w:rPr>
          <w:rFonts w:ascii="宋体" w:eastAsia="宋体" w:hAnsi="宋体"/>
          <w:sz w:val="44"/>
          <w:szCs w:val="44"/>
        </w:rPr>
      </w:pPr>
      <w:r>
        <w:pict>
          <v:rect id="_x0000_s1036" style="position:absolute;left:0;text-align:left;margin-left:170.2pt;margin-top:2.55pt;width:87.05pt;height:36.45pt;z-index:12;mso-width-relative:page;mso-height-relative:page;v-text-anchor:middle" filled="f" strokeweight="1pt">
            <v:textbox>
              <w:txbxContent>
                <w:p w:rsidR="00716C7C" w:rsidRDefault="0058359D">
                  <w:pPr>
                    <w:jc w:val="center"/>
                    <w:rPr>
                      <w:color w:val="000000"/>
                    </w:rPr>
                  </w:pPr>
                  <w:r>
                    <w:rPr>
                      <w:rFonts w:hint="eastAsia"/>
                      <w:color w:val="000000"/>
                    </w:rPr>
                    <w:t>已通过</w:t>
                  </w:r>
                </w:p>
              </w:txbxContent>
            </v:textbox>
          </v:rect>
        </w:pict>
      </w:r>
    </w:p>
    <w:p w:rsidR="00716C7C" w:rsidRDefault="00B82BF5">
      <w:pPr>
        <w:jc w:val="center"/>
        <w:rPr>
          <w:rFonts w:ascii="宋体" w:eastAsia="宋体" w:hAnsi="宋体"/>
          <w:sz w:val="44"/>
          <w:szCs w:val="44"/>
        </w:rPr>
      </w:pPr>
      <w:r>
        <w:pict>
          <v:shape id="_x0000_s1037" type="#_x0000_t32" style="position:absolute;left:0;text-align:left;margin-left:215.25pt;margin-top:15.6pt;width:0;height:21.05pt;z-index:13;mso-width-relative:page;mso-height-relative:page" strokeweight=".5pt">
            <v:stroke endarrow="block" joinstyle="miter"/>
          </v:shape>
        </w:pict>
      </w:r>
    </w:p>
    <w:p w:rsidR="00716C7C" w:rsidRDefault="00B82BF5">
      <w:pPr>
        <w:jc w:val="center"/>
        <w:rPr>
          <w:rFonts w:ascii="宋体" w:eastAsia="宋体" w:hAnsi="宋体"/>
          <w:sz w:val="44"/>
          <w:szCs w:val="44"/>
        </w:rPr>
      </w:pPr>
      <w:r>
        <w:pict>
          <v:roundrect id="矩形: 圆角 10" o:spid="_x0000_s1038" style="position:absolute;left:0;text-align:left;margin-left:165.3pt;margin-top:10.35pt;width:102.45pt;height:36.45pt;z-index:4;mso-width-relative:page;mso-height-relative:page;v-text-anchor:middle" arcsize="10923f" filled="f" strokeweight="1pt">
            <v:stroke joinstyle="miter"/>
            <v:textbox>
              <w:txbxContent>
                <w:p w:rsidR="00716C7C" w:rsidRDefault="0058359D">
                  <w:pPr>
                    <w:jc w:val="center"/>
                    <w:rPr>
                      <w:color w:val="000000"/>
                    </w:rPr>
                  </w:pPr>
                  <w:r>
                    <w:rPr>
                      <w:rFonts w:hint="eastAsia"/>
                      <w:color w:val="000000"/>
                    </w:rPr>
                    <w:t>办结</w:t>
                  </w:r>
                </w:p>
              </w:txbxContent>
            </v:textbox>
          </v:roundrect>
        </w:pict>
      </w:r>
    </w:p>
    <w:p w:rsidR="00716C7C" w:rsidRDefault="00716C7C" w:rsidP="003F58F5">
      <w:pPr>
        <w:rPr>
          <w:rFonts w:ascii="宋体" w:eastAsia="宋体" w:hAnsi="宋体"/>
          <w:sz w:val="32"/>
          <w:szCs w:val="32"/>
        </w:rPr>
      </w:pPr>
    </w:p>
    <w:sectPr w:rsidR="00716C7C" w:rsidSect="003F58F5">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BF5" w:rsidRDefault="00B82BF5" w:rsidP="00434FC2">
      <w:r>
        <w:separator/>
      </w:r>
    </w:p>
  </w:endnote>
  <w:endnote w:type="continuationSeparator" w:id="0">
    <w:p w:rsidR="00B82BF5" w:rsidRDefault="00B82BF5" w:rsidP="0043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BF5" w:rsidRDefault="00B82BF5" w:rsidP="00434FC2">
      <w:r>
        <w:separator/>
      </w:r>
    </w:p>
  </w:footnote>
  <w:footnote w:type="continuationSeparator" w:id="0">
    <w:p w:rsidR="00B82BF5" w:rsidRDefault="00B82BF5" w:rsidP="0043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C3AA4"/>
    <w:rsid w:val="001515B1"/>
    <w:rsid w:val="001976BD"/>
    <w:rsid w:val="001A4B8A"/>
    <w:rsid w:val="002956BE"/>
    <w:rsid w:val="0032242F"/>
    <w:rsid w:val="003343C0"/>
    <w:rsid w:val="003469F6"/>
    <w:rsid w:val="00393528"/>
    <w:rsid w:val="003F24E0"/>
    <w:rsid w:val="003F58F5"/>
    <w:rsid w:val="00434FC2"/>
    <w:rsid w:val="00471C7C"/>
    <w:rsid w:val="004C5C3E"/>
    <w:rsid w:val="004E210F"/>
    <w:rsid w:val="0058359D"/>
    <w:rsid w:val="00634CFB"/>
    <w:rsid w:val="006421A2"/>
    <w:rsid w:val="006622E8"/>
    <w:rsid w:val="0066429A"/>
    <w:rsid w:val="00667E9E"/>
    <w:rsid w:val="00686AB4"/>
    <w:rsid w:val="00716C7C"/>
    <w:rsid w:val="00721646"/>
    <w:rsid w:val="00731EDD"/>
    <w:rsid w:val="0074779D"/>
    <w:rsid w:val="007A52D9"/>
    <w:rsid w:val="0081617B"/>
    <w:rsid w:val="00827C92"/>
    <w:rsid w:val="008313C0"/>
    <w:rsid w:val="00906FD0"/>
    <w:rsid w:val="009519E9"/>
    <w:rsid w:val="00976756"/>
    <w:rsid w:val="009A659C"/>
    <w:rsid w:val="00A342C5"/>
    <w:rsid w:val="00A372DD"/>
    <w:rsid w:val="00A87D42"/>
    <w:rsid w:val="00AA051C"/>
    <w:rsid w:val="00AB2DB2"/>
    <w:rsid w:val="00AE43C4"/>
    <w:rsid w:val="00AF329D"/>
    <w:rsid w:val="00B013A8"/>
    <w:rsid w:val="00B47C9E"/>
    <w:rsid w:val="00B82BF5"/>
    <w:rsid w:val="00BE5C32"/>
    <w:rsid w:val="00C34358"/>
    <w:rsid w:val="00C51FA7"/>
    <w:rsid w:val="00CA1948"/>
    <w:rsid w:val="00CE62FB"/>
    <w:rsid w:val="00DD249F"/>
    <w:rsid w:val="00E338D0"/>
    <w:rsid w:val="00E5427B"/>
    <w:rsid w:val="00E92A67"/>
    <w:rsid w:val="00EC6257"/>
    <w:rsid w:val="00F53A9B"/>
    <w:rsid w:val="3D847A06"/>
    <w:rsid w:val="6C41635C"/>
    <w:rsid w:val="6D495996"/>
    <w:rsid w:val="77BD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直接箭头连接符 29"/>
        <o:r id="V:Rule2" type="connector" idref="#直接箭头连接符 19"/>
        <o:r id="V:Rule3" type="connector" idref="#直接箭头连接符 18"/>
        <o:r id="V:Rule4" type="connector" idref="#直接箭头连接符 14"/>
        <o:r id="V:Rule5" type="connector" idref="#_x0000_s1037"/>
        <o:r id="V:Rule6" type="connector" idref="#直接箭头连接符 17"/>
      </o:rules>
    </o:shapelayout>
  </w:shapeDefaults>
  <w:decimalSymbol w:val="."/>
  <w:listSeparator w:val=","/>
  <w14:docId w14:val="010749C0"/>
  <w15:docId w15:val="{329621A4-04B7-4A24-A8BC-4BFE5E2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uiPriority w:val="99"/>
    <w:unhideWhenUsed/>
    <w:rsid w:val="00434FC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434FC2"/>
    <w:rPr>
      <w:kern w:val="2"/>
      <w:sz w:val="18"/>
      <w:szCs w:val="18"/>
    </w:rPr>
  </w:style>
  <w:style w:type="paragraph" w:styleId="a6">
    <w:name w:val="footer"/>
    <w:basedOn w:val="a"/>
    <w:link w:val="a7"/>
    <w:uiPriority w:val="99"/>
    <w:unhideWhenUsed/>
    <w:rsid w:val="00434FC2"/>
    <w:pPr>
      <w:tabs>
        <w:tab w:val="center" w:pos="4153"/>
        <w:tab w:val="right" w:pos="8306"/>
      </w:tabs>
      <w:snapToGrid w:val="0"/>
      <w:jc w:val="left"/>
    </w:pPr>
    <w:rPr>
      <w:sz w:val="18"/>
      <w:szCs w:val="18"/>
    </w:rPr>
  </w:style>
  <w:style w:type="character" w:customStyle="1" w:styleId="a7">
    <w:name w:val="页脚 字符"/>
    <w:link w:val="a6"/>
    <w:uiPriority w:val="99"/>
    <w:rsid w:val="00434F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5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史</dc:creator>
  <cp:lastModifiedBy>史 鑫</cp:lastModifiedBy>
  <cp:revision>36</cp:revision>
  <dcterms:created xsi:type="dcterms:W3CDTF">2019-09-11T07:57:00Z</dcterms:created>
  <dcterms:modified xsi:type="dcterms:W3CDTF">2020-09-14T01:42:00Z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