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阳城县农业农村局全面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推进“三项制度”工作落实推进表</w:t>
      </w:r>
    </w:p>
    <w:p>
      <w:pPr>
        <w:jc w:val="center"/>
        <w:rPr>
          <w:rFonts w:hint="eastAsia"/>
          <w:b/>
          <w:bCs/>
          <w:sz w:val="15"/>
          <w:szCs w:val="15"/>
          <w:lang w:val="en-US" w:eastAsia="zh-CN"/>
        </w:rPr>
      </w:pPr>
    </w:p>
    <w:p>
      <w:pPr>
        <w:jc w:val="center"/>
        <w:rPr>
          <w:rFonts w:hint="eastAsia"/>
          <w:b/>
          <w:bCs/>
          <w:sz w:val="11"/>
          <w:szCs w:val="11"/>
          <w:lang w:val="en-US" w:eastAsia="zh-CN"/>
        </w:rPr>
      </w:pPr>
    </w:p>
    <w:tbl>
      <w:tblPr>
        <w:tblStyle w:val="5"/>
        <w:tblW w:w="4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133"/>
        <w:gridCol w:w="4365"/>
        <w:gridCol w:w="1459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6" w:type="pc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708" w:type="pc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工作标准</w:t>
            </w:r>
          </w:p>
        </w:tc>
        <w:tc>
          <w:tcPr>
            <w:tcW w:w="571" w:type="pc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1133" w:type="pc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印证资料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健全行政执法自由裁量基准制度</w:t>
            </w:r>
          </w:p>
        </w:tc>
        <w:tc>
          <w:tcPr>
            <w:tcW w:w="1708" w:type="pct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合理确定裁量范围、种类和幅度的情况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《阳城县农业委员会规范行政处罚自由裁量权标准》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对全面推行“三项制度”工作进行安排部署</w:t>
            </w:r>
          </w:p>
        </w:tc>
        <w:tc>
          <w:tcPr>
            <w:tcW w:w="1708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制定具体细化措施和任务分解方案，明确时间表、路线图、责任人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《阳城县农业农村局推行行政执法“三项制度”工作实施方案》（阳农字[2019]98号）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建立执法决定信息公开发布撤销更新制度</w:t>
            </w:r>
          </w:p>
        </w:tc>
        <w:tc>
          <w:tcPr>
            <w:tcW w:w="1708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确保各类公开信息准确有效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《阳城县农业农村局农业行政执法公示、全过程记录和重大行政执法决定法制审核等三项制度的通知》（阳农字[2019]104号）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7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编制执法事项清单、流程图及服务指南</w:t>
            </w:r>
          </w:p>
        </w:tc>
        <w:tc>
          <w:tcPr>
            <w:tcW w:w="1708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明确行政执法主体、职责、权限、依据；明确行为具体操作流程；明确事项名称、依据、受理机构、条件、优惠政策、申请材料、办理流程、办理时限、监督方式、责任追究、救济渠道、办公时间、办公地址、办公电话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已编制上报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严格按照执法文书制作规范开展执法记录工作</w:t>
            </w:r>
          </w:p>
        </w:tc>
        <w:tc>
          <w:tcPr>
            <w:tcW w:w="1708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突出重要实现和关键环节，做到文字记录合法规范、客观全面，确保文书和案卷完整全面准确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2017年农业执法案件被评为省优秀执法案卷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明确重大执法决定法制审核机构，配备法制审核人员</w:t>
            </w:r>
          </w:p>
        </w:tc>
        <w:tc>
          <w:tcPr>
            <w:tcW w:w="1708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法制审核人员不少与本机关执法人员总数的5%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成立了法制审核小组，明确了审核人员。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建立健全法律顾问、公职律师制度</w:t>
            </w:r>
          </w:p>
        </w:tc>
        <w:tc>
          <w:tcPr>
            <w:tcW w:w="1708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重大复杂疑难法律事务要组织法律顾问、公职律师进行研究，充分吸收法律顾问、公职律师的意见建议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聘请常年法律顾问合同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编制重大执法决定法制审核目录清单</w:t>
            </w:r>
          </w:p>
        </w:tc>
        <w:tc>
          <w:tcPr>
            <w:tcW w:w="1708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结合本机关行政执法行为类别、执法层级、所属领域、涉案金额等因素，明确重大执法决定法制审核范围并动态调整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360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26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统计掌握各类行政执法事项开展情况和执法总体情况</w:t>
            </w:r>
          </w:p>
        </w:tc>
        <w:tc>
          <w:tcPr>
            <w:tcW w:w="1708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明确执法信息公示内容、范围、载体、程序、时限、监督方式和保障措施</w:t>
            </w:r>
          </w:p>
        </w:tc>
        <w:tc>
          <w:tcPr>
            <w:tcW w:w="571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133" w:type="pc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按时上报行政检查、行政处罚等信息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sectPr>
      <w:pgSz w:w="16838" w:h="11906" w:orient="landscape"/>
      <w:pgMar w:top="1247" w:right="1440" w:bottom="1134" w:left="1440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24BD"/>
    <w:rsid w:val="03AE58FF"/>
    <w:rsid w:val="08B76933"/>
    <w:rsid w:val="0EB52F8E"/>
    <w:rsid w:val="19A535D1"/>
    <w:rsid w:val="3024228E"/>
    <w:rsid w:val="304B5C82"/>
    <w:rsid w:val="39DB5A68"/>
    <w:rsid w:val="40011C97"/>
    <w:rsid w:val="482A4470"/>
    <w:rsid w:val="601B3747"/>
    <w:rsid w:val="63FF2B6E"/>
    <w:rsid w:val="78A56BA8"/>
    <w:rsid w:val="7EDC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2019-11-11T01:52:00Z</dcterms:created>
  <dc:creator>jc</dc:creator>
  <cp:lastModifiedBy>老幺</cp:lastModifiedBy>
  <dcterms:modified xsi:type="dcterms:W3CDTF">2019-11-25T02:25:20Z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